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F25195" w14:textId="77777777" w:rsidR="00B64282" w:rsidRDefault="00B64282" w:rsidP="00B64282">
      <w:pPr>
        <w:pStyle w:val="ChapterNumbers"/>
      </w:pPr>
      <w:r>
        <w:t>5</w:t>
      </w:r>
    </w:p>
    <w:p w14:paraId="53AE2629" w14:textId="45EE0CC7" w:rsidR="00B64282" w:rsidRDefault="00B64282" w:rsidP="00B64282">
      <w:pPr>
        <w:pStyle w:val="ChapterTitles"/>
      </w:pPr>
      <w:r>
        <w:t>A Libertarian Theory of Punishment and Rights</w:t>
      </w:r>
    </w:p>
    <w:p w14:paraId="56509460" w14:textId="77777777" w:rsidR="00B64282" w:rsidRDefault="00B64282" w:rsidP="00B64282">
      <w:pPr>
        <w:pStyle w:val="ChapterTitles"/>
      </w:pPr>
    </w:p>
    <w:p w14:paraId="63939346" w14:textId="339D01AA" w:rsidR="00B64282" w:rsidRDefault="00B64282" w:rsidP="00B64282">
      <w:pPr>
        <w:autoSpaceDE w:val="0"/>
        <w:autoSpaceDN w:val="0"/>
        <w:adjustRightInd w:val="0"/>
        <w:spacing w:line="260" w:lineRule="atLeast"/>
        <w:jc w:val="center"/>
        <w:textAlignment w:val="center"/>
        <w:rPr>
          <w:rFonts w:ascii="Adobe Caslon Pro" w:hAnsi="Adobe Caslon Pro" w:cs="Adobe Caslon Pro"/>
          <w:color w:val="000000"/>
          <w:spacing w:val="-1"/>
          <w:kern w:val="0"/>
          <w:sz w:val="20"/>
          <w:szCs w:val="20"/>
        </w:rPr>
      </w:pPr>
      <w:r w:rsidRPr="00B64282">
        <w:rPr>
          <w:rFonts w:ascii="Adobe Caslon Pro" w:hAnsi="Adobe Caslon Pro" w:cs="Adobe Caslon Pro"/>
          <w:color w:val="000000"/>
          <w:spacing w:val="-1"/>
          <w:kern w:val="0"/>
          <w:sz w:val="20"/>
          <w:szCs w:val="20"/>
        </w:rPr>
        <w:t xml:space="preserve">I published my first article on libertarian theory, “Estoppel: A New Justification for Individual Rights,” in </w:t>
      </w:r>
      <w:r w:rsidRPr="00B64282">
        <w:rPr>
          <w:rFonts w:ascii="Adobe Caslon Pro" w:hAnsi="Adobe Caslon Pro" w:cs="Adobe Caslon Pro"/>
          <w:i/>
          <w:iCs/>
          <w:color w:val="000000"/>
          <w:spacing w:val="-1"/>
          <w:kern w:val="0"/>
          <w:sz w:val="20"/>
          <w:szCs w:val="20"/>
        </w:rPr>
        <w:t>Reason Papers</w:t>
      </w:r>
      <w:r w:rsidRPr="00B64282">
        <w:rPr>
          <w:rFonts w:ascii="Adobe Caslon Pro" w:hAnsi="Adobe Caslon Pro" w:cs="Adobe Caslon Pro"/>
          <w:color w:val="000000"/>
          <w:spacing w:val="-1"/>
          <w:kern w:val="0"/>
          <w:sz w:val="20"/>
          <w:szCs w:val="20"/>
        </w:rPr>
        <w:t xml:space="preserve"> in </w:t>
      </w:r>
      <w:proofErr w:type="gramStart"/>
      <w:r w:rsidRPr="00B64282">
        <w:rPr>
          <w:rFonts w:ascii="Adobe Caslon Pro" w:hAnsi="Adobe Caslon Pro" w:cs="Adobe Caslon Pro"/>
          <w:color w:val="000000"/>
          <w:spacing w:val="-1"/>
          <w:kern w:val="0"/>
          <w:sz w:val="20"/>
          <w:szCs w:val="20"/>
        </w:rPr>
        <w:t>1992.</w:t>
      </w:r>
      <w:r w:rsidRPr="00B64282">
        <w:rPr>
          <w:rFonts w:ascii="Adobe Caslon Pro" w:hAnsi="Adobe Caslon Pro" w:cs="Adobe Caslon Pro"/>
          <w:color w:val="000000"/>
          <w:spacing w:val="-1"/>
          <w:kern w:val="0"/>
          <w:sz w:val="20"/>
          <w:szCs w:val="20"/>
          <w:vertAlign w:val="superscript"/>
        </w:rPr>
        <w:t>*</w:t>
      </w:r>
      <w:proofErr w:type="gramEnd"/>
      <w:r w:rsidRPr="00B64282">
        <w:rPr>
          <w:rFonts w:ascii="Adobe Caslon Pro" w:hAnsi="Adobe Caslon Pro" w:cs="Adobe Caslon Pro"/>
          <w:color w:val="000000"/>
          <w:spacing w:val="-1"/>
          <w:kern w:val="0"/>
          <w:sz w:val="20"/>
          <w:szCs w:val="20"/>
        </w:rPr>
        <w:t xml:space="preserve"> An expanded treatment was published in the </w:t>
      </w:r>
      <w:r w:rsidRPr="00B64282">
        <w:rPr>
          <w:rFonts w:ascii="Adobe Caslon Pro" w:hAnsi="Adobe Caslon Pro" w:cs="Adobe Caslon Pro"/>
          <w:i/>
          <w:iCs/>
          <w:color w:val="000000"/>
          <w:spacing w:val="-1"/>
          <w:kern w:val="0"/>
          <w:sz w:val="20"/>
          <w:szCs w:val="20"/>
        </w:rPr>
        <w:t>Journal of Libertarian Studies</w:t>
      </w:r>
      <w:r w:rsidRPr="00B64282">
        <w:rPr>
          <w:rFonts w:ascii="Adobe Caslon Pro" w:hAnsi="Adobe Caslon Pro" w:cs="Adobe Caslon Pro"/>
          <w:color w:val="000000"/>
          <w:spacing w:val="-1"/>
          <w:kern w:val="0"/>
          <w:sz w:val="20"/>
          <w:szCs w:val="20"/>
        </w:rPr>
        <w:t xml:space="preserve"> in 1996 and a similar version in the </w:t>
      </w:r>
      <w:r w:rsidRPr="00B64282">
        <w:rPr>
          <w:rFonts w:ascii="Adobe Caslon Pro" w:hAnsi="Adobe Caslon Pro" w:cs="Adobe Caslon Pro"/>
          <w:i/>
          <w:iCs/>
          <w:color w:val="000000"/>
          <w:spacing w:val="-1"/>
          <w:kern w:val="0"/>
          <w:sz w:val="20"/>
          <w:szCs w:val="20"/>
        </w:rPr>
        <w:t>Loyola of Los Angeles Law Review</w:t>
      </w:r>
      <w:r w:rsidRPr="00B64282">
        <w:rPr>
          <w:rFonts w:ascii="Adobe Caslon Pro" w:hAnsi="Adobe Caslon Pro" w:cs="Adobe Caslon Pro"/>
          <w:color w:val="000000"/>
          <w:spacing w:val="-1"/>
          <w:kern w:val="0"/>
          <w:sz w:val="20"/>
          <w:szCs w:val="20"/>
        </w:rPr>
        <w:t>.</w:t>
      </w:r>
      <w:r w:rsidRPr="00B64282">
        <w:rPr>
          <w:rFonts w:ascii="Adobe Caslon Pro" w:hAnsi="Adobe Caslon Pro" w:cs="Adobe Caslon Pro"/>
          <w:color w:val="000000"/>
          <w:spacing w:val="-1"/>
          <w:kern w:val="0"/>
          <w:sz w:val="20"/>
          <w:szCs w:val="20"/>
          <w:vertAlign w:val="superscript"/>
        </w:rPr>
        <w:t>†</w:t>
      </w:r>
      <w:r w:rsidRPr="00B64282">
        <w:rPr>
          <w:rFonts w:ascii="Adobe Caslon Pro" w:hAnsi="Adobe Caslon Pro" w:cs="Adobe Caslon Pro"/>
          <w:color w:val="000000"/>
          <w:spacing w:val="-1"/>
          <w:kern w:val="0"/>
          <w:sz w:val="20"/>
          <w:szCs w:val="20"/>
        </w:rPr>
        <w:t xml:space="preserve"> This chapter is based on the latter article, also incorporating some material from the </w:t>
      </w:r>
      <w:r w:rsidRPr="00B64282">
        <w:rPr>
          <w:rFonts w:ascii="Adobe Caslon Pro" w:hAnsi="Adobe Caslon Pro" w:cs="Adobe Caslon Pro"/>
          <w:i/>
          <w:iCs/>
          <w:color w:val="000000"/>
          <w:spacing w:val="-1"/>
          <w:kern w:val="0"/>
          <w:sz w:val="20"/>
          <w:szCs w:val="20"/>
        </w:rPr>
        <w:t>JLS</w:t>
      </w:r>
      <w:r w:rsidRPr="00B64282">
        <w:rPr>
          <w:rFonts w:ascii="Adobe Caslon Pro" w:hAnsi="Adobe Caslon Pro" w:cs="Adobe Caslon Pro"/>
          <w:color w:val="000000"/>
          <w:spacing w:val="-1"/>
          <w:kern w:val="0"/>
          <w:sz w:val="20"/>
          <w:szCs w:val="20"/>
        </w:rPr>
        <w:t xml:space="preserve"> article. There I thanked “Professor Hans-Hermann Hoppe and Jack Criss for helpful comments on an earlier draft.”</w:t>
      </w:r>
    </w:p>
    <w:p w14:paraId="4E6B56F5" w14:textId="77777777" w:rsidR="00B64282" w:rsidRDefault="00B64282" w:rsidP="00B64282">
      <w:pPr>
        <w:autoSpaceDE w:val="0"/>
        <w:autoSpaceDN w:val="0"/>
        <w:adjustRightInd w:val="0"/>
        <w:spacing w:line="260" w:lineRule="atLeast"/>
        <w:jc w:val="center"/>
        <w:textAlignment w:val="center"/>
        <w:rPr>
          <w:rFonts w:ascii="Adobe Caslon Pro" w:hAnsi="Adobe Caslon Pro" w:cs="Adobe Caslon Pro"/>
          <w:color w:val="000000"/>
          <w:spacing w:val="-1"/>
          <w:kern w:val="0"/>
          <w:sz w:val="20"/>
          <w:szCs w:val="20"/>
        </w:rPr>
      </w:pPr>
    </w:p>
    <w:p w14:paraId="0EC8B70A" w14:textId="77777777" w:rsidR="00B64282" w:rsidRDefault="00B64282" w:rsidP="00B64282">
      <w:pPr>
        <w:pStyle w:val="Footnotes"/>
        <w:tabs>
          <w:tab w:val="left" w:pos="360"/>
        </w:tabs>
        <w:ind w:firstLine="0"/>
        <w:rPr>
          <w:spacing w:val="-2"/>
        </w:rPr>
      </w:pPr>
      <w:r>
        <w:rPr>
          <w:spacing w:val="-2"/>
          <w:vertAlign w:val="superscript"/>
        </w:rPr>
        <w:t>*</w:t>
      </w:r>
      <w:r>
        <w:rPr>
          <w:spacing w:val="-2"/>
        </w:rPr>
        <w:tab/>
        <w:t>Stephan Kinsella, “</w:t>
      </w:r>
      <w:r>
        <w:rPr>
          <w:rStyle w:val="Hyperlink"/>
          <w:spacing w:val="-2"/>
        </w:rPr>
        <w:t>Estoppel: A New Justification for Individual Rights</w:t>
      </w:r>
      <w:r>
        <w:rPr>
          <w:spacing w:val="-2"/>
        </w:rPr>
        <w:t xml:space="preserve">,” </w:t>
      </w:r>
      <w:r>
        <w:rPr>
          <w:rStyle w:val="italic"/>
          <w:spacing w:val="-2"/>
        </w:rPr>
        <w:t>Reason Papers</w:t>
      </w:r>
      <w:r>
        <w:rPr>
          <w:spacing w:val="-2"/>
        </w:rPr>
        <w:t xml:space="preserve"> No. 17 (Fall 1992): 61–74.</w:t>
      </w:r>
    </w:p>
    <w:p w14:paraId="3F6980F4" w14:textId="00FC3ABF" w:rsidR="00B64282" w:rsidRDefault="00B64282" w:rsidP="00B64282">
      <w:pPr>
        <w:autoSpaceDE w:val="0"/>
        <w:autoSpaceDN w:val="0"/>
        <w:adjustRightInd w:val="0"/>
        <w:spacing w:line="260" w:lineRule="atLeast"/>
        <w:textAlignment w:val="center"/>
        <w:rPr>
          <w:rFonts w:ascii="Adobe Caslon Pro" w:hAnsi="Adobe Caslon Pro"/>
          <w:spacing w:val="-2"/>
          <w:sz w:val="18"/>
          <w:szCs w:val="18"/>
        </w:rPr>
      </w:pPr>
      <w:proofErr w:type="gramStart"/>
      <w:r>
        <w:rPr>
          <w:spacing w:val="-2"/>
          <w:vertAlign w:val="superscript"/>
        </w:rPr>
        <w:t xml:space="preserve">† </w:t>
      </w:r>
      <w:r>
        <w:rPr>
          <w:spacing w:val="-2"/>
          <w:vertAlign w:val="superscript"/>
        </w:rPr>
        <w:t xml:space="preserve"> </w:t>
      </w:r>
      <w:r w:rsidRPr="00B64282">
        <w:rPr>
          <w:rFonts w:ascii="Adobe Caslon Pro" w:hAnsi="Adobe Caslon Pro"/>
          <w:spacing w:val="-1"/>
          <w:sz w:val="18"/>
          <w:szCs w:val="18"/>
        </w:rPr>
        <w:t>Stephan</w:t>
      </w:r>
      <w:proofErr w:type="gramEnd"/>
      <w:r w:rsidRPr="00B64282">
        <w:rPr>
          <w:rFonts w:ascii="Adobe Caslon Pro" w:hAnsi="Adobe Caslon Pro"/>
          <w:spacing w:val="-1"/>
          <w:sz w:val="18"/>
          <w:szCs w:val="18"/>
        </w:rPr>
        <w:t xml:space="preserve"> Kinsella, “</w:t>
      </w:r>
      <w:r w:rsidRPr="00B64282">
        <w:rPr>
          <w:rStyle w:val="Hyperlink"/>
          <w:rFonts w:ascii="Adobe Caslon Pro" w:hAnsi="Adobe Caslon Pro"/>
          <w:spacing w:val="-1"/>
          <w:sz w:val="18"/>
          <w:szCs w:val="18"/>
        </w:rPr>
        <w:t>Punishment and Proportionality: The Estoppel Approach</w:t>
      </w:r>
      <w:r w:rsidRPr="00B64282">
        <w:rPr>
          <w:rFonts w:ascii="Adobe Caslon Pro" w:hAnsi="Adobe Caslon Pro"/>
          <w:spacing w:val="-1"/>
          <w:sz w:val="18"/>
          <w:szCs w:val="18"/>
        </w:rPr>
        <w:t xml:space="preserve">,” </w:t>
      </w:r>
      <w:r w:rsidRPr="00B64282">
        <w:rPr>
          <w:rStyle w:val="italic"/>
          <w:rFonts w:ascii="Adobe Caslon Pro" w:hAnsi="Adobe Caslon Pro"/>
          <w:spacing w:val="-1"/>
          <w:sz w:val="18"/>
          <w:szCs w:val="18"/>
        </w:rPr>
        <w:t xml:space="preserve">J. Libertarian </w:t>
      </w:r>
      <w:r w:rsidRPr="00B64282">
        <w:rPr>
          <w:rStyle w:val="italic"/>
          <w:rFonts w:ascii="Adobe Caslon Pro" w:hAnsi="Adobe Caslon Pro"/>
          <w:spacing w:val="-2"/>
          <w:sz w:val="18"/>
          <w:szCs w:val="18"/>
        </w:rPr>
        <w:t xml:space="preserve">Stud. </w:t>
      </w:r>
      <w:r w:rsidRPr="00B64282">
        <w:rPr>
          <w:rFonts w:ascii="Adobe Caslon Pro" w:hAnsi="Adobe Caslon Pro"/>
          <w:spacing w:val="-2"/>
          <w:sz w:val="18"/>
          <w:szCs w:val="18"/>
        </w:rPr>
        <w:t xml:space="preserve">12, no. 1 (Spring 1996; </w:t>
      </w:r>
      <w:r w:rsidRPr="00B64282">
        <w:rPr>
          <w:rStyle w:val="Hyperlink"/>
          <w:rFonts w:ascii="Adobe Caslon Pro" w:hAnsi="Adobe Caslon Pro"/>
          <w:spacing w:val="-2"/>
          <w:sz w:val="18"/>
          <w:szCs w:val="18"/>
        </w:rPr>
        <w:t>https://mises.org/library/punishment-and-proportionality-estoppel-approach-0</w:t>
      </w:r>
      <w:r w:rsidRPr="00B64282">
        <w:rPr>
          <w:rFonts w:ascii="Adobe Caslon Pro" w:hAnsi="Adobe Caslon Pro"/>
          <w:spacing w:val="-2"/>
          <w:sz w:val="18"/>
          <w:szCs w:val="18"/>
        </w:rPr>
        <w:t xml:space="preserve">): 51–73 and </w:t>
      </w:r>
      <w:r w:rsidRPr="00B64282">
        <w:rPr>
          <w:rStyle w:val="italic"/>
          <w:rFonts w:ascii="Adobe Caslon Pro" w:hAnsi="Adobe Caslon Pro"/>
          <w:spacing w:val="-2"/>
          <w:sz w:val="18"/>
          <w:szCs w:val="18"/>
        </w:rPr>
        <w:t>idem</w:t>
      </w:r>
      <w:r w:rsidRPr="00B64282">
        <w:rPr>
          <w:rFonts w:ascii="Adobe Caslon Pro" w:hAnsi="Adobe Caslon Pro"/>
          <w:spacing w:val="-2"/>
          <w:sz w:val="18"/>
          <w:szCs w:val="18"/>
        </w:rPr>
        <w:t>, “</w:t>
      </w:r>
      <w:r w:rsidRPr="00B64282">
        <w:rPr>
          <w:rStyle w:val="Hyperlink"/>
          <w:rFonts w:ascii="Adobe Caslon Pro" w:hAnsi="Adobe Caslon Pro"/>
          <w:spacing w:val="-2"/>
          <w:sz w:val="18"/>
          <w:szCs w:val="18"/>
        </w:rPr>
        <w:t>A Libertarian Theory of Punishment and Rights</w:t>
      </w:r>
      <w:r w:rsidRPr="00B64282">
        <w:rPr>
          <w:rFonts w:ascii="Adobe Caslon Pro" w:hAnsi="Adobe Caslon Pro"/>
          <w:spacing w:val="-2"/>
          <w:sz w:val="18"/>
          <w:szCs w:val="18"/>
        </w:rPr>
        <w:t xml:space="preserve">,” </w:t>
      </w:r>
      <w:r w:rsidRPr="00B64282">
        <w:rPr>
          <w:rStyle w:val="italic"/>
          <w:rFonts w:ascii="Adobe Caslon Pro" w:hAnsi="Adobe Caslon Pro"/>
          <w:spacing w:val="-2"/>
          <w:sz w:val="18"/>
          <w:szCs w:val="18"/>
        </w:rPr>
        <w:t xml:space="preserve">Loy. L.A. L. Rev. </w:t>
      </w:r>
      <w:r w:rsidRPr="00B64282">
        <w:rPr>
          <w:rFonts w:ascii="Adobe Caslon Pro" w:hAnsi="Adobe Caslon Pro"/>
          <w:spacing w:val="-2"/>
          <w:sz w:val="18"/>
          <w:szCs w:val="18"/>
        </w:rPr>
        <w:t xml:space="preserve">30, no. 2 (1997; </w:t>
      </w:r>
      <w:r w:rsidRPr="00B64282">
        <w:rPr>
          <w:rStyle w:val="Hyperlink"/>
          <w:rFonts w:ascii="Adobe Caslon Pro" w:hAnsi="Adobe Caslon Pro"/>
          <w:spacing w:val="-2"/>
          <w:sz w:val="18"/>
          <w:szCs w:val="18"/>
        </w:rPr>
        <w:t>https://digitalcommons.lmu.edu/llr/vol30/iss2/</w:t>
      </w:r>
      <w:r w:rsidRPr="00B64282">
        <w:rPr>
          <w:rFonts w:ascii="Adobe Caslon Pro" w:hAnsi="Adobe Caslon Pro"/>
          <w:spacing w:val="-2"/>
          <w:sz w:val="18"/>
          <w:szCs w:val="18"/>
        </w:rPr>
        <w:t>): 607–45.</w:t>
      </w:r>
    </w:p>
    <w:p w14:paraId="26E7C081" w14:textId="77777777" w:rsidR="00B64282" w:rsidRDefault="00B64282" w:rsidP="00B64282">
      <w:pPr>
        <w:autoSpaceDE w:val="0"/>
        <w:autoSpaceDN w:val="0"/>
        <w:adjustRightInd w:val="0"/>
        <w:spacing w:line="260" w:lineRule="atLeast"/>
        <w:textAlignment w:val="center"/>
        <w:rPr>
          <w:rFonts w:ascii="Adobe Caslon Pro" w:hAnsi="Adobe Caslon Pro"/>
          <w:spacing w:val="-2"/>
          <w:sz w:val="18"/>
          <w:szCs w:val="18"/>
        </w:rPr>
      </w:pPr>
    </w:p>
    <w:p w14:paraId="43652F68" w14:textId="77777777" w:rsidR="00B64282" w:rsidRDefault="00B64282" w:rsidP="00B64282">
      <w:pPr>
        <w:pStyle w:val="TOCsInChapter1"/>
      </w:pPr>
      <w:proofErr w:type="spellStart"/>
      <w:r>
        <w:t>I.Introduction</w:t>
      </w:r>
      <w:proofErr w:type="spellEnd"/>
      <w:r>
        <w:tab/>
        <w:t>66</w:t>
      </w:r>
    </w:p>
    <w:p w14:paraId="1BD87AAE" w14:textId="77777777" w:rsidR="00B64282" w:rsidRDefault="00B64282" w:rsidP="00B64282">
      <w:pPr>
        <w:pStyle w:val="TOCsInChapter1"/>
      </w:pPr>
      <w:r>
        <w:t>II. Punishment and Consent</w:t>
      </w:r>
      <w:r>
        <w:tab/>
        <w:t>70</w:t>
      </w:r>
    </w:p>
    <w:p w14:paraId="5AE72D24" w14:textId="77777777" w:rsidR="00B64282" w:rsidRDefault="00B64282" w:rsidP="00B64282">
      <w:pPr>
        <w:pStyle w:val="TOCsInChapter1"/>
      </w:pPr>
      <w:r>
        <w:t>III. Punishment and Estoppel</w:t>
      </w:r>
      <w:r>
        <w:tab/>
        <w:t>72</w:t>
      </w:r>
    </w:p>
    <w:p w14:paraId="71BBA64D" w14:textId="77777777" w:rsidR="00B64282" w:rsidRDefault="00B64282" w:rsidP="00B64282">
      <w:pPr>
        <w:pStyle w:val="TOCsinChapter2"/>
      </w:pPr>
      <w:r>
        <w:t>A. Legal Estoppel</w:t>
      </w:r>
      <w:r>
        <w:tab/>
        <w:t>72</w:t>
      </w:r>
    </w:p>
    <w:p w14:paraId="46E7CB36" w14:textId="77777777" w:rsidR="00B64282" w:rsidRDefault="00B64282" w:rsidP="00B64282">
      <w:pPr>
        <w:pStyle w:val="TOCsinChapter2"/>
      </w:pPr>
      <w:r>
        <w:t>B. Dialogical Estoppel</w:t>
      </w:r>
      <w:r>
        <w:tab/>
        <w:t>75</w:t>
      </w:r>
    </w:p>
    <w:p w14:paraId="456BBE65" w14:textId="77777777" w:rsidR="00B64282" w:rsidRDefault="00B64282" w:rsidP="00B64282">
      <w:pPr>
        <w:pStyle w:val="TOCsinChapter2"/>
      </w:pPr>
      <w:r>
        <w:t>C. Punishing Aggressive Behavior</w:t>
      </w:r>
      <w:r>
        <w:tab/>
        <w:t>79</w:t>
      </w:r>
    </w:p>
    <w:p w14:paraId="5173F21F" w14:textId="77777777" w:rsidR="00B64282" w:rsidRDefault="00B64282" w:rsidP="00B64282">
      <w:pPr>
        <w:pStyle w:val="TOCsinChapter2"/>
      </w:pPr>
      <w:r>
        <w:rPr>
          <w:spacing w:val="-2"/>
        </w:rPr>
        <w:t>D. Potential Defenses by the Aggressor</w:t>
      </w:r>
      <w:r>
        <w:tab/>
        <w:t>83</w:t>
      </w:r>
    </w:p>
    <w:p w14:paraId="681C6966" w14:textId="77777777" w:rsidR="00B64282" w:rsidRDefault="00B64282" w:rsidP="00B64282">
      <w:pPr>
        <w:pStyle w:val="TOCinChapter3"/>
      </w:pPr>
      <w:r>
        <w:t>1. The Concept of Aggression</w:t>
      </w:r>
      <w:r>
        <w:tab/>
        <w:t>83</w:t>
      </w:r>
    </w:p>
    <w:p w14:paraId="25045B9A" w14:textId="77777777" w:rsidR="00B64282" w:rsidRDefault="00B64282" w:rsidP="00B64282">
      <w:pPr>
        <w:pStyle w:val="TOCinChapter3"/>
      </w:pPr>
      <w:r>
        <w:t>2. Universalizability</w:t>
      </w:r>
      <w:r>
        <w:tab/>
        <w:t>84</w:t>
      </w:r>
    </w:p>
    <w:p w14:paraId="333AEBDA" w14:textId="77777777" w:rsidR="00B64282" w:rsidRDefault="00B64282" w:rsidP="00B64282">
      <w:pPr>
        <w:pStyle w:val="TOCinChapter3"/>
      </w:pPr>
      <w:r>
        <w:t>3. Time</w:t>
      </w:r>
      <w:r>
        <w:tab/>
        <w:t>85</w:t>
      </w:r>
    </w:p>
    <w:p w14:paraId="7676D9EB" w14:textId="77777777" w:rsidR="00B64282" w:rsidRDefault="00B64282" w:rsidP="00B64282">
      <w:pPr>
        <w:pStyle w:val="TOCsinChapter2"/>
      </w:pPr>
      <w:r>
        <w:t>E. Punishing Nonaggressive Behavior</w:t>
      </w:r>
      <w:r>
        <w:tab/>
        <w:t>88</w:t>
      </w:r>
    </w:p>
    <w:p w14:paraId="4892F066" w14:textId="77777777" w:rsidR="00B64282" w:rsidRDefault="00B64282" w:rsidP="00B64282">
      <w:pPr>
        <w:pStyle w:val="TOCsinChapter2"/>
        <w:rPr>
          <w:rFonts w:ascii="Adobe Caslon Pro Bold" w:hAnsi="Adobe Caslon Pro Bold" w:cs="Adobe Caslon Pro Bold"/>
          <w:b/>
          <w:bCs/>
          <w:sz w:val="18"/>
          <w:szCs w:val="18"/>
        </w:rPr>
      </w:pPr>
      <w:r>
        <w:t>F. Property Rights</w:t>
      </w:r>
      <w:r>
        <w:tab/>
        <w:t>90</w:t>
      </w:r>
    </w:p>
    <w:p w14:paraId="481D65C7" w14:textId="77777777" w:rsidR="00B64282" w:rsidRDefault="00B64282" w:rsidP="00B64282">
      <w:pPr>
        <w:pStyle w:val="TOCsInChapter1"/>
      </w:pPr>
      <w:r>
        <w:t xml:space="preserve">IV. </w:t>
      </w:r>
      <w:r>
        <w:br/>
        <w:t>Types of Punishments and the</w:t>
      </w:r>
      <w:r>
        <w:br/>
        <w:t>Burden of Proof</w:t>
      </w:r>
      <w:r>
        <w:tab/>
        <w:t>93</w:t>
      </w:r>
    </w:p>
    <w:p w14:paraId="2AD64C46" w14:textId="77777777" w:rsidR="00B64282" w:rsidRDefault="00B64282" w:rsidP="00B64282">
      <w:pPr>
        <w:pStyle w:val="TOCsinChapter2"/>
      </w:pPr>
      <w:r>
        <w:t>A. Proportional Punishment</w:t>
      </w:r>
      <w:r>
        <w:tab/>
        <w:t>93</w:t>
      </w:r>
    </w:p>
    <w:p w14:paraId="7A38F01E" w14:textId="77777777" w:rsidR="00B64282" w:rsidRDefault="00B64282" w:rsidP="00B64282">
      <w:pPr>
        <w:pStyle w:val="TOCsinChapter2"/>
      </w:pPr>
      <w:r>
        <w:t>B. The Victim’s Options</w:t>
      </w:r>
      <w:r>
        <w:tab/>
        <w:t>95</w:t>
      </w:r>
    </w:p>
    <w:p w14:paraId="7560B52B" w14:textId="77777777" w:rsidR="00B64282" w:rsidRDefault="00B64282" w:rsidP="00B64282">
      <w:pPr>
        <w:pStyle w:val="TOCsinChapter2"/>
        <w:tabs>
          <w:tab w:val="clear" w:pos="3000"/>
          <w:tab w:val="right" w:pos="3320"/>
        </w:tabs>
      </w:pPr>
      <w:r>
        <w:t xml:space="preserve">C. </w:t>
      </w:r>
      <w:r>
        <w:br/>
        <w:t xml:space="preserve">Enhancing Punishment Due </w:t>
      </w:r>
      <w:r>
        <w:br/>
        <w:t>to Other Factors</w:t>
      </w:r>
      <w:r>
        <w:tab/>
        <w:t>99</w:t>
      </w:r>
    </w:p>
    <w:p w14:paraId="1A131FA5" w14:textId="77777777" w:rsidR="00B64282" w:rsidRDefault="00B64282" w:rsidP="00B64282">
      <w:pPr>
        <w:pStyle w:val="TOCsinChapter2"/>
      </w:pPr>
      <w:r>
        <w:t>D. Graduated Scale of Punishment</w:t>
      </w:r>
      <w:r>
        <w:tab/>
        <w:t>100</w:t>
      </w:r>
    </w:p>
    <w:p w14:paraId="6AB1BB81" w14:textId="77777777" w:rsidR="00B64282" w:rsidRDefault="00B64282" w:rsidP="00B64282">
      <w:pPr>
        <w:pStyle w:val="TOCsinChapter2"/>
      </w:pPr>
      <w:r>
        <w:t>E. Property Crimes</w:t>
      </w:r>
      <w:r>
        <w:tab/>
        <w:t>102</w:t>
      </w:r>
    </w:p>
    <w:p w14:paraId="3F733767" w14:textId="77777777" w:rsidR="00B64282" w:rsidRDefault="00B64282" w:rsidP="00B64282">
      <w:pPr>
        <w:pStyle w:val="TOCsinChapter2"/>
        <w:tabs>
          <w:tab w:val="clear" w:pos="3000"/>
          <w:tab w:val="right" w:pos="3320"/>
        </w:tabs>
      </w:pPr>
      <w:r>
        <w:t xml:space="preserve">F. </w:t>
      </w:r>
      <w:r>
        <w:br/>
        <w:t xml:space="preserve">Why Assault, Threats, and </w:t>
      </w:r>
      <w:r>
        <w:br/>
        <w:t>Attempts Are Aggression</w:t>
      </w:r>
      <w:r>
        <w:tab/>
        <w:t>103</w:t>
      </w:r>
    </w:p>
    <w:p w14:paraId="422147B4" w14:textId="77777777" w:rsidR="00B64282" w:rsidRDefault="00B64282" w:rsidP="00B64282">
      <w:pPr>
        <w:pStyle w:val="TOCsinChapter2"/>
      </w:pPr>
      <w:r>
        <w:t>G. The Burden of Proof</w:t>
      </w:r>
      <w:r>
        <w:tab/>
        <w:t>104</w:t>
      </w:r>
    </w:p>
    <w:p w14:paraId="11C8A3B4" w14:textId="77777777" w:rsidR="00B64282" w:rsidRDefault="00B64282" w:rsidP="00B64282">
      <w:pPr>
        <w:pStyle w:val="TOCsInChapter1"/>
      </w:pPr>
      <w:r>
        <w:t>V. Conclusion</w:t>
      </w:r>
      <w:r>
        <w:tab/>
        <w:t>109</w:t>
      </w:r>
    </w:p>
    <w:p w14:paraId="1E4EA480" w14:textId="593CE5AA" w:rsidR="00B64282" w:rsidRPr="00B64282" w:rsidRDefault="00B64282" w:rsidP="00B64282">
      <w:pPr>
        <w:autoSpaceDE w:val="0"/>
        <w:autoSpaceDN w:val="0"/>
        <w:adjustRightInd w:val="0"/>
        <w:spacing w:line="260" w:lineRule="atLeast"/>
        <w:textAlignment w:val="center"/>
        <w:rPr>
          <w:rFonts w:ascii="Adobe Caslon Pro" w:hAnsi="Adobe Caslon Pro"/>
          <w:b/>
          <w:bCs/>
          <w:spacing w:val="-2"/>
          <w:sz w:val="18"/>
          <w:szCs w:val="18"/>
        </w:rPr>
      </w:pPr>
      <w:r w:rsidRPr="00B64282">
        <w:rPr>
          <w:rFonts w:ascii="Adobe Caslon Pro" w:hAnsi="Adobe Caslon Pro"/>
          <w:b/>
          <w:bCs/>
          <w:sz w:val="18"/>
          <w:szCs w:val="18"/>
        </w:rPr>
        <w:t>Appendix:  The Justice of Responsive Force</w:t>
      </w:r>
      <w:r w:rsidRPr="00B64282">
        <w:rPr>
          <w:rFonts w:ascii="Adobe Caslon Pro" w:hAnsi="Adobe Caslon Pro"/>
          <w:b/>
          <w:bCs/>
          <w:sz w:val="18"/>
          <w:szCs w:val="18"/>
        </w:rPr>
        <w:tab/>
        <w:t>109</w:t>
      </w:r>
    </w:p>
    <w:p w14:paraId="1CC95A1F" w14:textId="77777777" w:rsidR="00B64282" w:rsidRDefault="00B64282" w:rsidP="00B64282">
      <w:pPr>
        <w:autoSpaceDE w:val="0"/>
        <w:autoSpaceDN w:val="0"/>
        <w:adjustRightInd w:val="0"/>
        <w:spacing w:line="260" w:lineRule="atLeast"/>
        <w:textAlignment w:val="center"/>
        <w:rPr>
          <w:rFonts w:ascii="Adobe Caslon Pro" w:hAnsi="Adobe Caslon Pro"/>
          <w:spacing w:val="-2"/>
          <w:sz w:val="18"/>
          <w:szCs w:val="18"/>
        </w:rPr>
      </w:pPr>
    </w:p>
    <w:p w14:paraId="7B2A650D" w14:textId="77777777" w:rsidR="00B64282" w:rsidRPr="00B64282" w:rsidRDefault="00B64282" w:rsidP="00B64282">
      <w:pPr>
        <w:autoSpaceDE w:val="0"/>
        <w:autoSpaceDN w:val="0"/>
        <w:adjustRightInd w:val="0"/>
        <w:spacing w:line="260" w:lineRule="atLeast"/>
        <w:textAlignment w:val="center"/>
        <w:rPr>
          <w:rStyle w:val="italic"/>
          <w:rFonts w:ascii="Adobe Caslon Pro" w:hAnsi="Adobe Caslon Pro" w:cs="Adobe Caslon Pro"/>
          <w:i w:val="0"/>
          <w:iCs w:val="0"/>
          <w:color w:val="000000"/>
          <w:spacing w:val="-1"/>
          <w:kern w:val="0"/>
          <w:sz w:val="20"/>
          <w:szCs w:val="20"/>
        </w:rPr>
      </w:pPr>
    </w:p>
    <w:p w14:paraId="4A5E66CB" w14:textId="77777777" w:rsidR="00B64282" w:rsidRDefault="00B64282" w:rsidP="00B64282">
      <w:pPr>
        <w:pStyle w:val="body"/>
        <w:jc w:val="center"/>
        <w:rPr>
          <w:rStyle w:val="italic"/>
          <w:spacing w:val="1"/>
        </w:rPr>
      </w:pPr>
    </w:p>
    <w:p w14:paraId="11206D22" w14:textId="17950145" w:rsidR="00B64282" w:rsidRDefault="00B64282" w:rsidP="00B64282">
      <w:pPr>
        <w:pStyle w:val="body"/>
        <w:jc w:val="center"/>
        <w:rPr>
          <w:rStyle w:val="italic"/>
          <w:i w:val="0"/>
          <w:iCs w:val="0"/>
          <w:spacing w:val="1"/>
        </w:rPr>
      </w:pPr>
      <w:r>
        <w:rPr>
          <w:rStyle w:val="italic"/>
          <w:spacing w:val="1"/>
        </w:rPr>
        <w:t>[I]t is easier to commit murder than to justify it.</w:t>
      </w:r>
      <w:r>
        <w:rPr>
          <w:rStyle w:val="FootnoteInTextNumber"/>
          <w:spacing w:val="1"/>
        </w:rPr>
        <w:footnoteReference w:id="1"/>
      </w:r>
    </w:p>
    <w:p w14:paraId="24077829" w14:textId="77777777" w:rsidR="00B64282" w:rsidRDefault="00B64282" w:rsidP="00B64282">
      <w:pPr>
        <w:pStyle w:val="Subheads"/>
      </w:pPr>
      <w:r>
        <w:t>I. INTRODUCTION</w:t>
      </w:r>
    </w:p>
    <w:p w14:paraId="4D998952" w14:textId="77777777" w:rsidR="00B64282" w:rsidRDefault="00B64282" w:rsidP="00B64282">
      <w:pPr>
        <w:pStyle w:val="FirstParagraph"/>
        <w:rPr>
          <w:spacing w:val="1"/>
        </w:rPr>
      </w:pPr>
      <w:r>
        <w:rPr>
          <w:spacing w:val="1"/>
        </w:rPr>
        <w:t>Punishment serves many purposes. It can deter crime and prevent the offender from committing further crimes. It can even rehabilitate some criminals—except, of course, if it is capital punishment. It can satisfy a victim’s longing for revenge or a relative’s desire to avenge. Punishment can also be used as a lever to obtain restitution or rectification for some of the damage caused by the crime. For these reasons, the issue of punishment is and always has been a vital concern to civilized people. They want to know the effects of punishment and effective ways of carrying it out.</w:t>
      </w:r>
      <w:r>
        <w:rPr>
          <w:rStyle w:val="FootnoteInTextNumber"/>
          <w:spacing w:val="1"/>
        </w:rPr>
        <w:footnoteReference w:id="2"/>
      </w:r>
      <w:r>
        <w:rPr>
          <w:spacing w:val="1"/>
        </w:rPr>
        <w:t xml:space="preserve"> </w:t>
      </w:r>
    </w:p>
    <w:p w14:paraId="1635F31F" w14:textId="77777777" w:rsidR="00B64282" w:rsidRDefault="00B64282" w:rsidP="00B64282">
      <w:pPr>
        <w:pStyle w:val="body"/>
      </w:pPr>
      <w:r>
        <w:t xml:space="preserve">Civilized people are also concerned about </w:t>
      </w:r>
      <w:r>
        <w:rPr>
          <w:rStyle w:val="italic"/>
        </w:rPr>
        <w:t>justifying</w:t>
      </w:r>
      <w:r>
        <w:t xml:space="preserve"> punishment. They want to punish, but they also want to know that such punishment is justified. They want to be able to punish legitimately—hence the interest in punishment theories.</w:t>
      </w:r>
      <w:r>
        <w:rPr>
          <w:rStyle w:val="FootnoteInTextNumber"/>
        </w:rPr>
        <w:footnoteReference w:id="3"/>
      </w:r>
      <w:r>
        <w:t xml:space="preserve"> As pointed out by Murray Rothbard in his short but insightful discussion of punishment and proportionality, however, the theory of punishment has not been adequately developed, even by libertarians.</w:t>
      </w:r>
      <w:r>
        <w:rPr>
          <w:rStyle w:val="FootnoteInTextNumber"/>
        </w:rPr>
        <w:footnoteReference w:id="4"/>
      </w:r>
      <w:r>
        <w:t xml:space="preserve"> </w:t>
      </w:r>
    </w:p>
    <w:p w14:paraId="2EBCA80E" w14:textId="77777777" w:rsidR="00B64282" w:rsidRDefault="00B64282" w:rsidP="00B64282">
      <w:pPr>
        <w:pStyle w:val="body"/>
        <w:rPr>
          <w:spacing w:val="-1"/>
        </w:rPr>
      </w:pPr>
      <w:r>
        <w:rPr>
          <w:spacing w:val="-1"/>
        </w:rPr>
        <w:t>In conventional theories of punishment, concepts of restitution, deterrence,</w:t>
      </w:r>
      <w:r>
        <w:rPr>
          <w:rStyle w:val="FootnoteInTextNumber"/>
          <w:spacing w:val="-1"/>
        </w:rPr>
        <w:footnoteReference w:id="5"/>
      </w:r>
      <w:r>
        <w:rPr>
          <w:spacing w:val="-1"/>
        </w:rPr>
        <w:t xml:space="preserve"> retribution, and rehabilitation are often forwarded as justifications for punishment, even though they are really the effects </w:t>
      </w:r>
      <w:r>
        <w:rPr>
          <w:spacing w:val="-1"/>
        </w:rPr>
        <w:lastRenderedPageBreak/>
        <w:t>or purposes of punishment.</w:t>
      </w:r>
      <w:r>
        <w:rPr>
          <w:rStyle w:val="FootnoteInTextNumber"/>
          <w:spacing w:val="-1"/>
        </w:rPr>
        <w:footnoteReference w:id="6"/>
      </w:r>
      <w:r>
        <w:rPr>
          <w:spacing w:val="-1"/>
        </w:rPr>
        <w:t xml:space="preserve"> This reversal of logic is not surprising given the consequentialist, result-oriented type of thinking that is so prevalent nowadays. Nevertheless, the effects of punishment or the uses to which it might be put do not justify punishment.</w:t>
      </w:r>
    </w:p>
    <w:p w14:paraId="1687F8FB" w14:textId="77777777" w:rsidR="00B64282" w:rsidRDefault="00B64282" w:rsidP="00B64282">
      <w:pPr>
        <w:pStyle w:val="body"/>
      </w:pPr>
      <w:r>
        <w:t>Take the analogous case of free speech rights as an example. Modern-day liberals and other consequentialists typically seek to justify the First Amendment right to free speech on the grounds that free speech promotes political discourse.</w:t>
      </w:r>
      <w:r>
        <w:rPr>
          <w:rStyle w:val="FootnoteInTextNumber"/>
        </w:rPr>
        <w:footnoteReference w:id="7"/>
      </w:r>
      <w:r>
        <w:t xml:space="preserve"> But, as libertarians—the most systematic and coherent school of modern political philosophy and the contemporary heirs of the classical liberal Founding Fathers—have explained, there is a right to free speech simply because it does not involve aggression against others, not because it “promotes political discussion.”</w:t>
      </w:r>
      <w:r>
        <w:rPr>
          <w:rStyle w:val="FootnoteInTextNumber"/>
        </w:rPr>
        <w:footnoteReference w:id="8"/>
      </w:r>
    </w:p>
    <w:p w14:paraId="79676B21" w14:textId="77777777" w:rsidR="00B64282" w:rsidRDefault="00B64282" w:rsidP="00B64282">
      <w:pPr>
        <w:pStyle w:val="body"/>
      </w:pPr>
      <w:r>
        <w:t xml:space="preserve"> </w:t>
      </w:r>
    </w:p>
    <w:p w14:paraId="0F85C8CD" w14:textId="77777777" w:rsidR="00B64282" w:rsidRDefault="00B64282" w:rsidP="00B64282">
      <w:pPr>
        <w:pStyle w:val="body"/>
        <w:rPr>
          <w:spacing w:val="3"/>
        </w:rPr>
      </w:pPr>
      <w:r>
        <w:rPr>
          <w:spacing w:val="3"/>
        </w:rPr>
        <w:t xml:space="preserve">This analogy highlights the fact that the purpose to which a right holder might put the right is not necessarily what justifies the right in the first place. Turning back to punishment, if individuals </w:t>
      </w:r>
      <w:r>
        <w:rPr>
          <w:spacing w:val="3"/>
        </w:rPr>
        <w:lastRenderedPageBreak/>
        <w:t>have a right to punish, the purpose for which a person exercises this right—for example, for revenge, for restitution, or for deterrence—and the consequences that flow from it may well be irrelevant to the question of whether the right claimed can be justified.</w:t>
      </w:r>
      <w:r>
        <w:rPr>
          <w:rStyle w:val="FootnoteInTextNumber"/>
          <w:spacing w:val="3"/>
        </w:rPr>
        <w:footnoteReference w:id="9"/>
      </w:r>
      <w:r>
        <w:rPr>
          <w:spacing w:val="3"/>
        </w:rPr>
        <w:t xml:space="preserve"> </w:t>
      </w:r>
    </w:p>
    <w:p w14:paraId="1A752509" w14:textId="0462AB8A" w:rsidR="00B64282" w:rsidRDefault="00B64282" w:rsidP="00B64282">
      <w:pPr>
        <w:pStyle w:val="body"/>
        <w:rPr>
          <w:spacing w:val="2"/>
        </w:rPr>
      </w:pPr>
      <w:r>
        <w:rPr>
          <w:spacing w:val="2"/>
        </w:rPr>
        <w:t xml:space="preserve">In this chapter I will attempt to explain how and why punishment can be justified. The right to punish discussed herein applies to property crimes such as theft and trespass as well as to bodily-invasive crimes such as assault, rape, and murder. I will develop a retributionist, or </w:t>
      </w:r>
      <w:r>
        <w:rPr>
          <w:rStyle w:val="italic"/>
          <w:spacing w:val="2"/>
        </w:rPr>
        <w:t>lex talionis</w:t>
      </w:r>
      <w:r>
        <w:rPr>
          <w:spacing w:val="2"/>
        </w:rPr>
        <w:t xml:space="preserve">, theory of punishment, including related principles of proportionality. This theory of punishment is largely consistent with the libertarian-based </w:t>
      </w:r>
      <w:r>
        <w:rPr>
          <w:rStyle w:val="italic"/>
          <w:spacing w:val="2"/>
        </w:rPr>
        <w:t>lex talionis</w:t>
      </w:r>
      <w:r>
        <w:rPr>
          <w:spacing w:val="2"/>
        </w:rPr>
        <w:t xml:space="preserve"> approach of Murray Rothbard.</w:t>
      </w:r>
      <w:r>
        <w:rPr>
          <w:rStyle w:val="FootnoteInTextNumber"/>
          <w:spacing w:val="2"/>
        </w:rPr>
        <w:footnoteReference w:id="10"/>
      </w:r>
      <w:r>
        <w:rPr>
          <w:spacing w:val="2"/>
        </w:rPr>
        <w:t xml:space="preserve"> I will not follow the approach of some theorists who derive principles of punishment from a theory of rights or from some other ethical or utilitarian theory. Instead, I will follow the opposite approach in which justifying punishment itself defines and justifies our rights.</w:t>
      </w:r>
      <w:r>
        <w:rPr>
          <w:rStyle w:val="FootnoteInTextNumber"/>
          <w:spacing w:val="2"/>
        </w:rPr>
        <w:footnoteReference w:id="11"/>
      </w:r>
      <w:r>
        <w:rPr>
          <w:spacing w:val="2"/>
        </w:rPr>
        <w:t xml:space="preserve"> </w:t>
      </w:r>
    </w:p>
    <w:p w14:paraId="1B1A8577" w14:textId="77777777" w:rsidR="00B64282" w:rsidRDefault="00B64282" w:rsidP="00B64282">
      <w:pPr>
        <w:pStyle w:val="Subheads"/>
      </w:pPr>
      <w:r>
        <w:t>II. PUNISHMENT AND CONSENT</w:t>
      </w:r>
    </w:p>
    <w:p w14:paraId="637EECBC" w14:textId="77777777" w:rsidR="00B64282" w:rsidRDefault="00B64282" w:rsidP="00B64282">
      <w:pPr>
        <w:pStyle w:val="FirstParagraph"/>
        <w:rPr>
          <w:spacing w:val="1"/>
        </w:rPr>
      </w:pPr>
      <w:r>
        <w:rPr>
          <w:spacing w:val="1"/>
        </w:rPr>
        <w:t>What does it mean to punish? Dictionary definitions are easy to come by, but in the sense that interests those of us who want to punish, punishment is the infliction of physical force on a person in response to something that the person has done or has failed to do.</w:t>
      </w:r>
      <w:r>
        <w:rPr>
          <w:rStyle w:val="FootnoteInTextNumber"/>
          <w:spacing w:val="1"/>
        </w:rPr>
        <w:footnoteReference w:id="12"/>
      </w:r>
      <w:r>
        <w:rPr>
          <w:spacing w:val="1"/>
        </w:rPr>
        <w:t xml:space="preserve"> Thus, punishment comprises physical violence committed against a person’s body, against any property (resource) that a person legitimately owns, or against any rights that a person has.</w:t>
      </w:r>
      <w:r>
        <w:rPr>
          <w:rStyle w:val="FootnoteInTextNumber"/>
          <w:spacing w:val="1"/>
        </w:rPr>
        <w:footnoteReference w:id="13"/>
      </w:r>
      <w:r>
        <w:rPr>
          <w:spacing w:val="1"/>
        </w:rPr>
        <w:t xml:space="preserve"> It is a </w:t>
      </w:r>
      <w:r>
        <w:rPr>
          <w:rStyle w:val="italic"/>
          <w:spacing w:val="1"/>
        </w:rPr>
        <w:t>use of</w:t>
      </w:r>
      <w:r>
        <w:rPr>
          <w:spacing w:val="1"/>
        </w:rPr>
        <w:t xml:space="preserve"> someone’s body or owned resource without their currently-expressed consent, that is, over their expressed objection. Punishment is distinct from aggression, in that it is </w:t>
      </w:r>
      <w:r>
        <w:rPr>
          <w:rStyle w:val="italic"/>
          <w:spacing w:val="1"/>
        </w:rPr>
        <w:t>for</w:t>
      </w:r>
      <w:r>
        <w:rPr>
          <w:spacing w:val="1"/>
        </w:rPr>
        <w:t xml:space="preserve">, or </w:t>
      </w:r>
      <w:r>
        <w:rPr>
          <w:rStyle w:val="italic"/>
          <w:spacing w:val="1"/>
        </w:rPr>
        <w:t>in response to</w:t>
      </w:r>
      <w:r>
        <w:rPr>
          <w:spacing w:val="1"/>
        </w:rPr>
        <w:t xml:space="preserve">, some action, inaction, feature, or status of the person punished; otherwise, it is simply random violence or aggression, unconnected with some </w:t>
      </w:r>
      <w:r>
        <w:rPr>
          <w:spacing w:val="1"/>
        </w:rPr>
        <w:lastRenderedPageBreak/>
        <w:t>previous action or inaction of the one punished.</w:t>
      </w:r>
      <w:r>
        <w:rPr>
          <w:rStyle w:val="FootnoteInTextNumber"/>
          <w:spacing w:val="1"/>
        </w:rPr>
        <w:footnoteReference w:id="14"/>
      </w:r>
      <w:r>
        <w:rPr>
          <w:spacing w:val="1"/>
        </w:rPr>
        <w:t xml:space="preserve"> Naked aggression against an innocent victim is not punishment; it is simply aggression. When we punish a person, it is because we consider that person to be a wrongdoer of some sort. We typically want to teach that person or others a lesson or exact vengeance or restitution for what that person has done.</w:t>
      </w:r>
    </w:p>
    <w:p w14:paraId="174CE594" w14:textId="77777777" w:rsidR="00B64282" w:rsidRDefault="00B64282" w:rsidP="00B64282">
      <w:pPr>
        <w:pStyle w:val="body"/>
      </w:pPr>
      <w:r>
        <w:t>If wrongdoers always consented to the infliction of punishment in response to the perpetration of a crime or tort, we would not need to justify punishment. It would be justified by the very consent of the purported wrongdoer. As the Roman jurist Ulpian summarized this commonsense insight centuries ago, “there is no affront [or injustice] where the victim consents.”</w:t>
      </w:r>
      <w:r>
        <w:rPr>
          <w:rStyle w:val="FootnoteInTextNumber"/>
        </w:rPr>
        <w:footnoteReference w:id="15"/>
      </w:r>
      <w:r>
        <w:t xml:space="preserve"> The need to justify punishment only arises when a person resists and refuses to consent to being punished. As philosopher John Hospers notes, the very thing that is troublesome about punishment “is that in punishing someone, we are forcibly </w:t>
      </w:r>
      <w:r>
        <w:rPr>
          <w:rStyle w:val="italic"/>
        </w:rPr>
        <w:t>imposing</w:t>
      </w:r>
      <w:r>
        <w:t xml:space="preserve"> on him something against his will, and of which he may not approve.”</w:t>
      </w:r>
      <w:r>
        <w:rPr>
          <w:rStyle w:val="FootnoteInTextNumber"/>
        </w:rPr>
        <w:footnoteReference w:id="16"/>
      </w:r>
      <w:r>
        <w:t xml:space="preserve"> </w:t>
      </w:r>
    </w:p>
    <w:p w14:paraId="7C102D36" w14:textId="77777777" w:rsidR="00B64282" w:rsidRDefault="00B64282" w:rsidP="00B64282">
      <w:pPr>
        <w:pStyle w:val="body"/>
      </w:pPr>
      <w:r>
        <w:t xml:space="preserve">I will thus seek to justify punishment exactly where it needs to be justified: the point at which we attempt to inflict punishment upon people who oppose it. In short, I will argue that society may justly punish those who have initiated force, in a manner proportionate to their initiation of force and to the consequences thereof, because they cannot coherently object to such punishment. In brief, it makes no sense for them to object to punishment because this requires that they maintain that the infliction of force is unjustified, which is contradictory because they intentionally initiated force themselves. Thus, </w:t>
      </w:r>
      <w:r>
        <w:lastRenderedPageBreak/>
        <w:t xml:space="preserve">they are dialogically </w:t>
      </w:r>
      <w:r>
        <w:rPr>
          <w:rStyle w:val="italic"/>
        </w:rPr>
        <w:t>estopped</w:t>
      </w:r>
      <w:r>
        <w:t>, to use related legal terminology, or precluded, from denying the legitimacy of their being punished and from withholding their consent.</w:t>
      </w:r>
      <w:r>
        <w:rPr>
          <w:rStyle w:val="FootnoteInTextNumber"/>
        </w:rPr>
        <w:footnoteReference w:id="17"/>
      </w:r>
      <w:r>
        <w:t xml:space="preserve"> As argued below, this reasoning may be used to develop a theory of punishment and rights.</w:t>
      </w:r>
    </w:p>
    <w:p w14:paraId="13A377A4" w14:textId="77777777" w:rsidR="00B64282" w:rsidRDefault="00B64282" w:rsidP="00B64282">
      <w:pPr>
        <w:pStyle w:val="Subheads"/>
      </w:pPr>
      <w:r>
        <w:t>III. PUNISHMENT AND ESTOPPEL</w:t>
      </w:r>
    </w:p>
    <w:p w14:paraId="01318E32" w14:textId="77777777" w:rsidR="00B64282" w:rsidRDefault="00B64282" w:rsidP="00B64282">
      <w:pPr>
        <w:pStyle w:val="Subhead2"/>
      </w:pPr>
      <w:r>
        <w:t>A. Legal Estoppel</w:t>
      </w:r>
    </w:p>
    <w:p w14:paraId="6528CFCE" w14:textId="77777777" w:rsidR="00B64282" w:rsidRDefault="00B64282" w:rsidP="00B64282">
      <w:pPr>
        <w:pStyle w:val="FirstParagraph"/>
      </w:pPr>
      <w:r>
        <w:t>Estoppel is a well-known common law principle that prevents or precludes someone from making a legal claim that is inconsistent with prior conduct if some other person has changed position detrimentally in reliance on the prior conduct (referred to as “detrimental reliance”).</w:t>
      </w:r>
      <w:r>
        <w:rPr>
          <w:rStyle w:val="FootnoteInTextNumber"/>
        </w:rPr>
        <w:footnoteReference w:id="18"/>
      </w:r>
      <w:r>
        <w:t xml:space="preserve"> Estoppel thus denies a party the ability to assert a fact or right that the party otherwise could. Estoppel is a widely applicable legal principle that has countless manifestations.</w:t>
      </w:r>
      <w:r>
        <w:rPr>
          <w:rStyle w:val="FootnoteInTextNumber"/>
        </w:rPr>
        <w:footnoteReference w:id="19"/>
      </w:r>
      <w:r>
        <w:t xml:space="preserve"> Roman law and its modern heir, the civil law, contain the similar doctrine “</w:t>
      </w:r>
      <w:r>
        <w:rPr>
          <w:rStyle w:val="italic"/>
        </w:rPr>
        <w:t>venire contra proprium factum</w:t>
      </w:r>
      <w:r>
        <w:t>,” or “no one can contradict his own act.”</w:t>
      </w:r>
      <w:r>
        <w:rPr>
          <w:rStyle w:val="FootnoteInTextNumber"/>
        </w:rPr>
        <w:footnoteReference w:id="20"/>
      </w:r>
      <w:r>
        <w:t xml:space="preserve"> Under this principle, “no one is allowed to ignore or deny his own acts, or the consequences thereof, and claim a right in opposition to such acts or consequences.”</w:t>
      </w:r>
      <w:r>
        <w:rPr>
          <w:rStyle w:val="FootnoteInTextNumber"/>
        </w:rPr>
        <w:footnoteReference w:id="21"/>
      </w:r>
      <w:r>
        <w:t xml:space="preserve"> Estoppel may even be applied if a person’s silent acquiescence in the face of a duty to speak amounts to a representation.</w:t>
      </w:r>
      <w:r>
        <w:rPr>
          <w:rStyle w:val="FootnoteInTextNumber"/>
        </w:rPr>
        <w:footnoteReference w:id="22"/>
      </w:r>
      <w:r>
        <w:t xml:space="preserve"> The principle behind estoppel can also be seen in common sayings such as “actions speak louder than words,” “practice what you preach,” and “put your money where your mouth is,” all of which embody the idea that actions and assertions should be consistent.</w:t>
      </w:r>
      <w:r>
        <w:rPr>
          <w:rStyle w:val="FootnoteInTextNumber"/>
        </w:rPr>
        <w:footnoteReference w:id="23"/>
      </w:r>
      <w:r>
        <w:t xml:space="preserve"> As Lord Coke stated, the word “estoppel” </w:t>
      </w:r>
      <w:r>
        <w:lastRenderedPageBreak/>
        <w:t xml:space="preserve">is used “because a man’s own act or acceptance </w:t>
      </w:r>
      <w:proofErr w:type="spellStart"/>
      <w:r>
        <w:t>stoppeth</w:t>
      </w:r>
      <w:proofErr w:type="spellEnd"/>
      <w:r>
        <w:t xml:space="preserve"> or </w:t>
      </w:r>
      <w:proofErr w:type="spellStart"/>
      <w:r>
        <w:t>closeth</w:t>
      </w:r>
      <w:proofErr w:type="spellEnd"/>
      <w:r>
        <w:t xml:space="preserve"> up his mouth to allege or plead the truth.”</w:t>
      </w:r>
      <w:r>
        <w:rPr>
          <w:rStyle w:val="FootnoteInTextNumber"/>
        </w:rPr>
        <w:footnoteReference w:id="24"/>
      </w:r>
    </w:p>
    <w:p w14:paraId="69B90227" w14:textId="77777777" w:rsidR="00B64282" w:rsidRDefault="00B64282" w:rsidP="00B64282">
      <w:pPr>
        <w:pStyle w:val="body"/>
        <w:rPr>
          <w:spacing w:val="1"/>
        </w:rPr>
      </w:pPr>
      <w:r>
        <w:rPr>
          <w:spacing w:val="1"/>
        </w:rPr>
        <w:t>For legal estoppel to operate, there usually must have been detrimental reliance by the person seeking to estop another.</w:t>
      </w:r>
      <w:r>
        <w:rPr>
          <w:rStyle w:val="FootnoteInTextNumber"/>
          <w:spacing w:val="1"/>
        </w:rPr>
        <w:footnoteReference w:id="25"/>
      </w:r>
      <w:r>
        <w:rPr>
          <w:spacing w:val="1"/>
        </w:rPr>
        <w:t xml:space="preserve"> Proof of detrimental reliance is required because until a person has relied on another’s prior action or representation, the action or representation has not caused any harm, and thus, there is no reason to estop the actor from asserting the truth or from rejecting the prior conduct.</w:t>
      </w:r>
      <w:r>
        <w:rPr>
          <w:rStyle w:val="FootnoteInTextNumber"/>
          <w:spacing w:val="1"/>
        </w:rPr>
        <w:footnoteReference w:id="26"/>
      </w:r>
    </w:p>
    <w:p w14:paraId="7994822F" w14:textId="68DDA740" w:rsidR="00B64282" w:rsidRDefault="00B64282" w:rsidP="00B64282">
      <w:pPr>
        <w:pStyle w:val="body"/>
      </w:pPr>
      <w:r>
        <w:t xml:space="preserve">As an example, in the recent case </w:t>
      </w:r>
      <w:r>
        <w:rPr>
          <w:rStyle w:val="italic"/>
        </w:rPr>
        <w:t xml:space="preserve">Zimmerman v. </w:t>
      </w:r>
      <w:proofErr w:type="gramStart"/>
      <w:r>
        <w:rPr>
          <w:rStyle w:val="italic"/>
        </w:rPr>
        <w:t>Zimmerman</w:t>
      </w:r>
      <w:r>
        <w:t xml:space="preserve">, </w:t>
      </w:r>
      <w:r>
        <w:t xml:space="preserve"> </w:t>
      </w:r>
      <w:r>
        <w:t>a</w:t>
      </w:r>
      <w:proofErr w:type="gramEnd"/>
      <w:r>
        <w:t xml:space="preserve"> daughter sued her father for tuition fee debts she had incurred during her second and third years at college.</w:t>
      </w:r>
      <w:r>
        <w:rPr>
          <w:rStyle w:val="FootnoteInTextNumber"/>
        </w:rPr>
        <w:footnoteReference w:id="27"/>
      </w:r>
      <w:r>
        <w:t xml:space="preserve"> In this case, when the daughter was a senior in high school, the father promised to pay her tuition fees and related expenses if she attended a local college (Adelphi University). However, the promise was a “mere” promise, because it was not accompanied by the requisite legal formalities such as consideration, and therefore did not constitute a normally binding contract. Nevertheless, during her first year at college, her father paid her tuition for her, as he had promised. However, he failed to pay her tuition during the second and third years, although he repeatedly assured her during this time that he would pay the tuition fees when he had the money. This resulted in the daughter’s legal obligation to pay approximately $6,700 to Adelphi. In this case, although the promise itself did not give rise to an enforceable contract (because of lack of legal formalities such as consideration), it was found that the father should have reasonably expected that his daughter would rely on his promise, and that she did in fact rely on the promise, taking substantial action to her detriment or disadvantage (namely, incurring a debt to Adelphi). Therefore, the daughter was awarded an amount sufficient to cover the unpaid tuition. The father was, in effect, estopped from denying that a contract was formed, even though one was not.</w:t>
      </w:r>
      <w:r>
        <w:rPr>
          <w:rStyle w:val="FootnoteInTextNumber"/>
        </w:rPr>
        <w:footnoteReference w:id="28"/>
      </w:r>
      <w:r>
        <w:t xml:space="preserve"> </w:t>
      </w:r>
    </w:p>
    <w:p w14:paraId="5153341E" w14:textId="77777777" w:rsidR="00B64282" w:rsidRDefault="00B64282" w:rsidP="00B64282">
      <w:pPr>
        <w:pStyle w:val="Subhead2"/>
      </w:pPr>
      <w:r>
        <w:t>B. Dialogical Estoppel</w:t>
      </w:r>
    </w:p>
    <w:p w14:paraId="00034416" w14:textId="77777777" w:rsidR="00B64282" w:rsidRDefault="00B64282" w:rsidP="00B64282">
      <w:pPr>
        <w:pStyle w:val="FirstParagraph"/>
        <w:rPr>
          <w:spacing w:val="-1"/>
        </w:rPr>
      </w:pPr>
      <w:r>
        <w:rPr>
          <w:spacing w:val="-1"/>
        </w:rPr>
        <w:lastRenderedPageBreak/>
        <w:t>As can be seen, the heart of the idea behind legal estoppel is consistency. A similar concept, “dialogical estoppel,” can be used to justify the libertarian conception of rights because of the reciprocity inherent in the libertarian tenet that force is legitimate only in response to force and because of the consistency that must apply to aggressors trying to argue why they should not be punished.</w:t>
      </w:r>
      <w:r>
        <w:rPr>
          <w:rStyle w:val="FootnoteInTextNumber"/>
          <w:spacing w:val="-1"/>
        </w:rPr>
        <w:footnoteReference w:id="29"/>
      </w:r>
      <w:r>
        <w:rPr>
          <w:spacing w:val="-1"/>
        </w:rPr>
        <w:t xml:space="preserve"> The basic insight behind this theory of rights is that people who initiate force cannot consistently object to being punished. They are dialogically, so to speak, “estopped” from asserting the impropriety of the force used to punish them because of their own coercive behavior. This theory also establishes the validity of the libertarian conception of rights as being strictly negative rights against aggression.</w:t>
      </w:r>
    </w:p>
    <w:p w14:paraId="1857A3A9" w14:textId="77777777" w:rsidR="00B64282" w:rsidRDefault="00B64282" w:rsidP="00B64282">
      <w:pPr>
        <w:pStyle w:val="body"/>
        <w:rPr>
          <w:spacing w:val="1"/>
        </w:rPr>
      </w:pPr>
      <w:r>
        <w:rPr>
          <w:spacing w:val="1"/>
        </w:rPr>
        <w:t>The point at which punishment needs to be justified is when we attempt to inflict punishment upon a person who opposes it. Thus, using a philosophical, generalized version of dialogical estoppel, I want to justify punishment in just this situation by showing that an aggressor is estopped from objecting to punishment. Under the principle of dialogical estoppel, or simply “estoppel,” a person is estopped from making certain claims during discourse if these claims are inconsistent and contradictory. To say that a person is estopped from making certain claims means that the claims cannot possibly be right because they are contradictory. It is to recognize that his assertion is simply wrong because it is contradictory.</w:t>
      </w:r>
    </w:p>
    <w:p w14:paraId="752E4F8D" w14:textId="77777777" w:rsidR="00B64282" w:rsidRDefault="00B64282" w:rsidP="00B64282">
      <w:pPr>
        <w:pStyle w:val="body"/>
      </w:pPr>
      <w:r>
        <w:t xml:space="preserve">Applying estoppel in this manner perfectly complements the purpose of dialogue. Dialogue, discourse, or argument—terms that are used interchangeably herein—is by its nature an activity aimed at finding truth. Anyone engaged in argument is necessarily endeavoring to discern the truth about some </w:t>
      </w:r>
      <w:proofErr w:type="gramStart"/>
      <w:r>
        <w:t>particular subject</w:t>
      </w:r>
      <w:proofErr w:type="gramEnd"/>
      <w:r>
        <w:t xml:space="preserve">; otherwise, there is no dialogue occurring but mere babbling or even physical fighting. This cannot be denied. Any person arguing long enough to deny that truth is the goal of discourse contradicts this denial because that person is </w:t>
      </w:r>
      <w:r>
        <w:rPr>
          <w:spacing w:val="-1"/>
        </w:rPr>
        <w:t>asserting or challenging the truth of a given proposition. Thus, asserting</w:t>
      </w:r>
      <w:r>
        <w:t xml:space="preserve"> that something is true that cannot be true is incompatible with the purpose of discourse. Anything that clearly cannot be true is contrary to the truth-finding purpose of discourse and, consequently, is impermissible within the bounds of the discourse.</w:t>
      </w:r>
    </w:p>
    <w:p w14:paraId="0CAED502" w14:textId="77777777" w:rsidR="00B64282" w:rsidRDefault="00B64282" w:rsidP="00B64282">
      <w:pPr>
        <w:pStyle w:val="body"/>
        <w:rPr>
          <w:spacing w:val="-1"/>
        </w:rPr>
      </w:pPr>
      <w:r>
        <w:rPr>
          <w:spacing w:val="-1"/>
        </w:rPr>
        <w:t xml:space="preserve">Contradictions are certainly the archetype of propositions that cannot be true. </w:t>
      </w:r>
      <w:proofErr w:type="gramStart"/>
      <w:r>
        <w:rPr>
          <w:spacing w:val="-1"/>
        </w:rPr>
        <w:t>A and</w:t>
      </w:r>
      <w:proofErr w:type="gramEnd"/>
      <w:r>
        <w:rPr>
          <w:spacing w:val="-1"/>
        </w:rPr>
        <w:t xml:space="preserve"> not-A cannot both be true simultaneously and in the same respect.</w:t>
      </w:r>
      <w:r>
        <w:rPr>
          <w:rStyle w:val="FootnoteInTextNumber"/>
          <w:spacing w:val="-1"/>
        </w:rPr>
        <w:footnoteReference w:id="30"/>
      </w:r>
      <w:r>
        <w:rPr>
          <w:spacing w:val="-1"/>
        </w:rPr>
        <w:t xml:space="preserve"> This is why participants in discourse must be consistent. If an arguer does not need to be consistent, truth-finding cannot occur. And just as the traditional legal theory of estoppel mandates a sort of consistency in a legal context, the more general use of estoppel can be used to require consistency in discourse. The theory of estoppel that </w:t>
      </w:r>
      <w:r>
        <w:rPr>
          <w:spacing w:val="-1"/>
        </w:rPr>
        <w:br/>
        <w:t>I propose is nothing more than a convenient way to apply the require</w:t>
      </w:r>
      <w:r>
        <w:rPr>
          <w:spacing w:val="-3"/>
        </w:rPr>
        <w:t>ment</w:t>
      </w:r>
      <w:r>
        <w:rPr>
          <w:spacing w:val="-1"/>
        </w:rPr>
        <w:t xml:space="preserve"> of consistency to arguers—those engaged in discourse, dialogue, debate, </w:t>
      </w:r>
      <w:r>
        <w:rPr>
          <w:spacing w:val="-3"/>
        </w:rPr>
        <w:t>discussion, or argumentation. Because discourse is a truth-finding activity,</w:t>
      </w:r>
      <w:r>
        <w:rPr>
          <w:spacing w:val="-1"/>
        </w:rPr>
        <w:t xml:space="preserve"> any such contradictory claims should be disregarded since they cannot possibly be true. </w:t>
      </w:r>
      <w:r>
        <w:rPr>
          <w:spacing w:val="-1"/>
        </w:rPr>
        <w:lastRenderedPageBreak/>
        <w:t>Dialogical estoppel is thus a rule of discourse that rejects any inconsistent, mutually contradictory claims because they are contrary to the very goal of discourse. This rule is based solely on the recognition that discourse is a truth-seeking activity and that contradictions, which are necessarily untrue, are incompatible with discourse and thus should not be allowed.</w:t>
      </w:r>
      <w:r>
        <w:rPr>
          <w:rStyle w:val="FootnoteInTextNumber"/>
          <w:spacing w:val="-1"/>
        </w:rPr>
        <w:footnoteReference w:id="31"/>
      </w:r>
      <w:r>
        <w:rPr>
          <w:spacing w:val="-1"/>
        </w:rPr>
        <w:t xml:space="preserve"> The validity of this rule is undeniable because it is necessarily presupposed by any participant in discourse.</w:t>
      </w:r>
    </w:p>
    <w:p w14:paraId="2A2E724A" w14:textId="77777777" w:rsidR="00B64282" w:rsidRDefault="00B64282" w:rsidP="00B64282">
      <w:pPr>
        <w:pStyle w:val="body"/>
        <w:rPr>
          <w:spacing w:val="-5"/>
        </w:rPr>
      </w:pPr>
      <w:r>
        <w:rPr>
          <w:spacing w:val="-3"/>
        </w:rPr>
        <w:t xml:space="preserve">There are various ways that contradictions can arise in discourse. First, </w:t>
      </w:r>
      <w:r>
        <w:rPr>
          <w:spacing w:val="-5"/>
        </w:rPr>
        <w:t>an arguer’s position might be explicitly inconsistent. For example, if a per</w:t>
      </w:r>
      <w:r>
        <w:rPr>
          <w:spacing w:val="-2"/>
        </w:rPr>
        <w:t xml:space="preserve">son states that A is true and that not-A is also true, there is no doubt that </w:t>
      </w:r>
      <w:r>
        <w:rPr>
          <w:spacing w:val="-5"/>
        </w:rPr>
        <w:t>the person is incorrect. After all, as Ayn Rand repeatedly emphasized, A is A; the law of identity is indeed valid and unchallengeable.</w:t>
      </w:r>
      <w:r>
        <w:rPr>
          <w:rStyle w:val="FootnoteInTextNumber"/>
          <w:spacing w:val="-4"/>
        </w:rPr>
        <w:footnoteReference w:id="32"/>
      </w:r>
      <w:r>
        <w:rPr>
          <w:spacing w:val="-5"/>
        </w:rPr>
        <w:t xml:space="preserve"> It is impossible for him</w:t>
      </w:r>
      <w:r>
        <w:rPr>
          <w:rStyle w:val="FootnoteInTextNumber"/>
          <w:spacing w:val="-4"/>
        </w:rPr>
        <w:footnoteReference w:id="33"/>
      </w:r>
      <w:r>
        <w:rPr>
          <w:spacing w:val="-5"/>
        </w:rPr>
        <w:t xml:space="preserve"> to coherently and intelligibly assert that two contradictory state</w:t>
      </w:r>
      <w:r>
        <w:rPr>
          <w:spacing w:val="-3"/>
        </w:rPr>
        <w:t xml:space="preserve">ments are true; it is impossible for these claims to both be true. Thus, he is </w:t>
      </w:r>
      <w:r>
        <w:rPr>
          <w:spacing w:val="-5"/>
        </w:rPr>
        <w:t xml:space="preserve">estopped from asserting them and is not heard to utter them because they cannot tend to establish the truth, which is </w:t>
      </w:r>
      <w:r>
        <w:rPr>
          <w:spacing w:val="-5"/>
        </w:rPr>
        <w:lastRenderedPageBreak/>
        <w:t xml:space="preserve">the goal of all </w:t>
      </w:r>
      <w:proofErr w:type="gramStart"/>
      <w:r>
        <w:rPr>
          <w:spacing w:val="-5"/>
        </w:rPr>
        <w:t>argumentation</w:t>
      </w:r>
      <w:proofErr w:type="gramEnd"/>
      <w:r>
        <w:rPr>
          <w:spacing w:val="-5"/>
        </w:rPr>
        <w:t>.</w:t>
      </w:r>
      <w:r>
        <w:rPr>
          <w:rStyle w:val="FootnoteInTextNumber"/>
          <w:spacing w:val="-4"/>
        </w:rPr>
        <w:footnoteReference w:id="34"/>
      </w:r>
      <w:r>
        <w:rPr>
          <w:spacing w:val="-5"/>
        </w:rPr>
        <w:t xml:space="preserve"> As Wittgenstein noted, “What we cannot speak about we must pass over in silence.”</w:t>
      </w:r>
      <w:r>
        <w:rPr>
          <w:rStyle w:val="FootnoteInTextNumber"/>
          <w:spacing w:val="-4"/>
        </w:rPr>
        <w:footnoteReference w:id="35"/>
      </w:r>
    </w:p>
    <w:p w14:paraId="52E33C13" w14:textId="77777777" w:rsidR="00B64282" w:rsidRDefault="00B64282" w:rsidP="00B64282">
      <w:pPr>
        <w:pStyle w:val="body"/>
      </w:pPr>
      <w:r>
        <w:t xml:space="preserve">An arguer’s position can also be inconsistent without explicitly maintaining that A and not-A are true. Indeed, rarely will an arguer assert both A and not-A explicitly. However, whenever an arguer states that A is true, </w:t>
      </w:r>
      <w:proofErr w:type="gramStart"/>
      <w:r>
        <w:t>and also</w:t>
      </w:r>
      <w:proofErr w:type="gramEnd"/>
      <w:r>
        <w:t xml:space="preserve"> necessarily holds that not-A is true, the inconsistency is still there, and he is still estopped from explicitly claiming that A is true and implicitly claiming that not-A is true. The reason is the same as above: he cannot possibly be right that explicit A and implicit not-A are both true. Now he might, in some cases, be able to remove the inconsistency by dropping one of the claims. For example, suppose he asserts that the concept of gross national product is meaningful and a minute later states the exact opposite, apparently contradicting the earlier assertion. To avoid inconsistency, he can disclaim the earlier statement, thereby necessarily maintaining that the previous statement was incorrect. But it is not always possible to drop one of the assertions if it is unavoidably presupposed as true by the arguer. For example, the speaker might argue that he never argues. However, since he is currently arguing, he must necessarily, at least implicitly, hold or recognize that he sometimes argues. We would not recognize the contradictory claims as permissible in the argument because contradictions are untrue. The speaker would be estopped from maintaining these two contradictory claims, one explicit and one implicit, and he could not drop the second claim—that he sometimes argues—for he cannot help but hold this view while engaged in argumentation itself. To maintain an arguable—that is, possibly true—position, he would have to renounce the first claim that he never argues.</w:t>
      </w:r>
    </w:p>
    <w:p w14:paraId="728491C5" w14:textId="77777777" w:rsidR="00B64282" w:rsidRDefault="00B64282" w:rsidP="00B64282">
      <w:pPr>
        <w:pStyle w:val="body"/>
      </w:pPr>
      <w:r>
        <w:t xml:space="preserve">Alternatively, if this person was so incoherent as to argue that he somehow does not believe or recognize that arguing is possible, despite engaging in it, he would still be estopped from asserting that argumentation is impossible. For even if he does not actually </w:t>
      </w:r>
      <w:r>
        <w:rPr>
          <w:rStyle w:val="italic"/>
        </w:rPr>
        <w:t>realize</w:t>
      </w:r>
      <w:r>
        <w:t xml:space="preserve"> that argumentation is possible—</w:t>
      </w:r>
      <w:proofErr w:type="gramStart"/>
      <w:r>
        <w:t>or,</w:t>
      </w:r>
      <w:proofErr w:type="gramEnd"/>
      <w:r>
        <w:t xml:space="preserve"> what is more likely, does not actually admit it—it still cannot be the case that argumentation is impossible if someone is indeed arguing.</w:t>
      </w:r>
    </w:p>
    <w:p w14:paraId="62D92FD8" w14:textId="77777777" w:rsidR="00B64282" w:rsidRDefault="00B64282" w:rsidP="00B64282">
      <w:pPr>
        <w:pStyle w:val="body"/>
        <w:rPr>
          <w:spacing w:val="2"/>
        </w:rPr>
      </w:pPr>
      <w:r>
        <w:rPr>
          <w:spacing w:val="2"/>
        </w:rPr>
        <w:t xml:space="preserve">We know this to be true </w:t>
      </w:r>
      <w:proofErr w:type="gramStart"/>
      <w:r>
        <w:rPr>
          <w:spacing w:val="2"/>
        </w:rPr>
        <w:t>whether or not</w:t>
      </w:r>
      <w:proofErr w:type="gramEnd"/>
      <w:r>
        <w:rPr>
          <w:spacing w:val="2"/>
        </w:rPr>
        <w:t xml:space="preserve"> others admit or recognize this. Thus, if someone asserts that argumentation is impossible, this assertion contradicts the undeniable presupposition of argumentation—that argumentation </w:t>
      </w:r>
      <w:r>
        <w:rPr>
          <w:rStyle w:val="italic"/>
          <w:spacing w:val="2"/>
        </w:rPr>
        <w:t>is</w:t>
      </w:r>
      <w:r>
        <w:rPr>
          <w:spacing w:val="2"/>
        </w:rPr>
        <w:t xml:space="preserve"> possible. This person’s proposition is facially untrue. Again, the person would be estopped from asserting such a claim since it is not even possibly </w:t>
      </w:r>
      <w:proofErr w:type="gramStart"/>
      <w:r>
        <w:rPr>
          <w:spacing w:val="2"/>
        </w:rPr>
        <w:t>true;</w:t>
      </w:r>
      <w:proofErr w:type="gramEnd"/>
      <w:r>
        <w:rPr>
          <w:spacing w:val="2"/>
        </w:rPr>
        <w:t xml:space="preserve"> the assertion flies in the face of undeniably true facts of reality.</w:t>
      </w:r>
    </w:p>
    <w:p w14:paraId="410D6648" w14:textId="77777777" w:rsidR="00B64282" w:rsidRDefault="00B64282" w:rsidP="00B64282">
      <w:pPr>
        <w:pStyle w:val="body"/>
        <w:rPr>
          <w:spacing w:val="1"/>
        </w:rPr>
      </w:pPr>
      <w:r>
        <w:rPr>
          <w:spacing w:val="1"/>
        </w:rPr>
        <w:lastRenderedPageBreak/>
        <w:t>Thus, because dialogue is a truth-finding activity, participants are estopped from making explicitly contradictory assertions since they subvert the goal of truth-seeking by being necessarily false. For the same reason, arguers are estopped from asserting one thing if (1) it contradicts something else that they necessarily maintain to be true; (2) it contradicts something that is necessarily true because it is a presupposition of discourse; or (3) it is necessarily true as an undeniable feature of reality or human existence. Further, no one can disagree with these general conclusions without self-contradiction, for anyone disagreeing with anything is a participant in discourse and, therefore, necessarily values truth-finding and consistency.</w:t>
      </w:r>
    </w:p>
    <w:p w14:paraId="3A19B8D0" w14:textId="77777777" w:rsidR="00B64282" w:rsidRDefault="00B64282" w:rsidP="00B64282">
      <w:pPr>
        <w:pStyle w:val="Subhead2"/>
      </w:pPr>
      <w:r>
        <w:t>C. Punishing Aggressive Behavior</w:t>
      </w:r>
    </w:p>
    <w:p w14:paraId="07D3E98B" w14:textId="77777777" w:rsidR="00B64282" w:rsidRDefault="00B64282" w:rsidP="00B64282">
      <w:pPr>
        <w:pStyle w:val="FirstParagraph"/>
        <w:rPr>
          <w:spacing w:val="-1"/>
        </w:rPr>
      </w:pPr>
      <w:r>
        <w:rPr>
          <w:spacing w:val="-1"/>
        </w:rPr>
        <w:t>The conduct of individuals can be divided into two types: (1) coercive or aggressive—that is, the initiation of force—and (2) noncoercive or nonaggressive. This division is purely descriptive and does not presume that aggression is invalid, immoral, or unjustifiable. It only assumes that at least some human action can be objectively classified as either aggressive or nonaggressive.</w:t>
      </w:r>
      <w:r>
        <w:rPr>
          <w:rStyle w:val="FootnoteInTextNumber"/>
          <w:spacing w:val="-1"/>
        </w:rPr>
        <w:footnoteReference w:id="36"/>
      </w:r>
      <w:r>
        <w:rPr>
          <w:spacing w:val="-1"/>
        </w:rPr>
        <w:t xml:space="preserve"> Thus, there are two types of behavior for which we might attempt to punish a person: aggressive and nonaggressive.</w:t>
      </w:r>
      <w:r>
        <w:rPr>
          <w:rStyle w:val="FootnoteInTextNumber"/>
          <w:spacing w:val="-1"/>
        </w:rPr>
        <w:footnoteReference w:id="37"/>
      </w:r>
      <w:r>
        <w:rPr>
          <w:spacing w:val="-1"/>
        </w:rPr>
        <w:t xml:space="preserve"> I will examine each in turn to show that punishment of aggressive behavior is legitimate while punishment of nonaggressive behavior is illegitimate.</w:t>
      </w:r>
    </w:p>
    <w:p w14:paraId="67B33523" w14:textId="77777777" w:rsidR="00B64282" w:rsidRDefault="00B64282" w:rsidP="00B64282">
      <w:pPr>
        <w:pStyle w:val="body"/>
      </w:pPr>
      <w:r>
        <w:t xml:space="preserve">The clearest and most severe instance of aggression is murder, so let us take this as an example. In what follows I will assume that the victim </w:t>
      </w:r>
      <w:r>
        <w:rPr>
          <w:rStyle w:val="italic"/>
        </w:rPr>
        <w:t>B</w:t>
      </w:r>
      <w:r>
        <w:t xml:space="preserve">, or </w:t>
      </w:r>
      <w:r>
        <w:rPr>
          <w:rStyle w:val="italic"/>
        </w:rPr>
        <w:t>B</w:t>
      </w:r>
      <w:r>
        <w:t xml:space="preserve">’s agent, </w:t>
      </w:r>
      <w:r>
        <w:rPr>
          <w:rStyle w:val="italic"/>
        </w:rPr>
        <w:t>C</w:t>
      </w:r>
      <w:r>
        <w:t xml:space="preserve">, attempts to punish a purported wrongdoer </w:t>
      </w:r>
      <w:r>
        <w:rPr>
          <w:rStyle w:val="italic"/>
        </w:rPr>
        <w:t>A</w:t>
      </w:r>
      <w:r>
        <w:t>.</w:t>
      </w:r>
      <w:r>
        <w:rPr>
          <w:rStyle w:val="FootnoteInTextNumber"/>
        </w:rPr>
        <w:footnoteReference w:id="38"/>
      </w:r>
      <w:r>
        <w:t xml:space="preserve"> Suppose that </w:t>
      </w:r>
      <w:r>
        <w:rPr>
          <w:rStyle w:val="italic"/>
        </w:rPr>
        <w:t>A</w:t>
      </w:r>
      <w:r>
        <w:t xml:space="preserve"> murders </w:t>
      </w:r>
      <w:r>
        <w:rPr>
          <w:rStyle w:val="italic"/>
        </w:rPr>
        <w:t>B</w:t>
      </w:r>
      <w:r>
        <w:t xml:space="preserve">, and </w:t>
      </w:r>
      <w:r>
        <w:rPr>
          <w:rStyle w:val="italic"/>
        </w:rPr>
        <w:t>C</w:t>
      </w:r>
      <w:r>
        <w:t xml:space="preserve"> convicts and imprisons </w:t>
      </w:r>
      <w:r>
        <w:rPr>
          <w:rStyle w:val="italic"/>
        </w:rPr>
        <w:t>A</w:t>
      </w:r>
      <w:r>
        <w:t xml:space="preserve">. In order for </w:t>
      </w:r>
      <w:r>
        <w:rPr>
          <w:rStyle w:val="italic"/>
        </w:rPr>
        <w:t>A</w:t>
      </w:r>
      <w:r>
        <w:t xml:space="preserve"> to object to his punishment, </w:t>
      </w:r>
      <w:r>
        <w:rPr>
          <w:rStyle w:val="italic"/>
        </w:rPr>
        <w:t>A</w:t>
      </w:r>
      <w:r>
        <w:t xml:space="preserve"> must claim that </w:t>
      </w:r>
      <w:r>
        <w:rPr>
          <w:rStyle w:val="italic"/>
        </w:rPr>
        <w:t>C</w:t>
      </w:r>
      <w:r>
        <w:t xml:space="preserve"> should not and must not treat him this way; that he has a </w:t>
      </w:r>
      <w:r>
        <w:rPr>
          <w:rStyle w:val="italic"/>
        </w:rPr>
        <w:t>right</w:t>
      </w:r>
      <w:r>
        <w:rPr>
          <w:rStyle w:val="FootnoteInTextNumber"/>
        </w:rPr>
        <w:footnoteReference w:id="39"/>
      </w:r>
      <w:r>
        <w:t xml:space="preserve"> to </w:t>
      </w:r>
      <w:r>
        <w:lastRenderedPageBreak/>
        <w:t xml:space="preserve">not be punished or, at least, that the use of force is </w:t>
      </w:r>
      <w:r>
        <w:rPr>
          <w:rStyle w:val="italic"/>
        </w:rPr>
        <w:t>wrong</w:t>
      </w:r>
      <w:r>
        <w:t xml:space="preserve"> so that </w:t>
      </w:r>
      <w:r>
        <w:rPr>
          <w:rStyle w:val="italic"/>
        </w:rPr>
        <w:t>C</w:t>
      </w:r>
      <w:r>
        <w:t xml:space="preserve"> should, therefore, not punish him.</w:t>
      </w:r>
      <w:r>
        <w:rPr>
          <w:rStyle w:val="FootnoteInTextNumber"/>
        </w:rPr>
        <w:footnoteReference w:id="40"/>
      </w:r>
      <w:r>
        <w:t xml:space="preserve"> However, such a claim is blatantly inconsistent with what must be </w:t>
      </w:r>
      <w:r>
        <w:rPr>
          <w:rStyle w:val="italic"/>
        </w:rPr>
        <w:t>A</w:t>
      </w:r>
      <w:r>
        <w:t xml:space="preserve">’s other position: because </w:t>
      </w:r>
      <w:r>
        <w:rPr>
          <w:rStyle w:val="italic"/>
        </w:rPr>
        <w:t>A</w:t>
      </w:r>
      <w:r>
        <w:t xml:space="preserve"> murdered </w:t>
      </w:r>
      <w:r>
        <w:rPr>
          <w:rStyle w:val="italic"/>
        </w:rPr>
        <w:t>B</w:t>
      </w:r>
      <w:r>
        <w:t xml:space="preserve">, which is clearly an act of aggression, his actions have indicated that he also holds the view that “aggression is </w:t>
      </w:r>
      <w:r>
        <w:rPr>
          <w:rStyle w:val="italic"/>
        </w:rPr>
        <w:t>not</w:t>
      </w:r>
      <w:r>
        <w:t xml:space="preserve"> wrong.”</w:t>
      </w:r>
    </w:p>
    <w:p w14:paraId="610A7008" w14:textId="77777777" w:rsidR="00B64282" w:rsidRDefault="00B64282" w:rsidP="00B64282">
      <w:pPr>
        <w:pStyle w:val="body"/>
        <w:rPr>
          <w:spacing w:val="1"/>
        </w:rPr>
      </w:pPr>
      <w:r>
        <w:rPr>
          <w:spacing w:val="1"/>
        </w:rPr>
        <w:t xml:space="preserve">Thus, because of his earlier actions, </w:t>
      </w:r>
      <w:r>
        <w:rPr>
          <w:rStyle w:val="italic"/>
          <w:spacing w:val="1"/>
        </w:rPr>
        <w:t>A</w:t>
      </w:r>
      <w:r>
        <w:rPr>
          <w:spacing w:val="1"/>
        </w:rPr>
        <w:t xml:space="preserve"> is estopped from claiming that aggression is wrong.</w:t>
      </w:r>
      <w:r>
        <w:rPr>
          <w:rStyle w:val="FootnoteInTextNumber"/>
          <w:spacing w:val="1"/>
        </w:rPr>
        <w:footnoteReference w:id="41"/>
      </w:r>
      <w:r>
        <w:rPr>
          <w:spacing w:val="1"/>
        </w:rPr>
        <w:t xml:space="preserve"> He cannot assert contradictory claims and is estopped from doing so. The only way for </w:t>
      </w:r>
      <w:r>
        <w:rPr>
          <w:rStyle w:val="italic"/>
          <w:spacing w:val="1"/>
        </w:rPr>
        <w:t>A</w:t>
      </w:r>
      <w:r>
        <w:rPr>
          <w:spacing w:val="1"/>
        </w:rPr>
        <w:t xml:space="preserve"> to maintain consistency is to drop one of his claims. If </w:t>
      </w:r>
      <w:r>
        <w:rPr>
          <w:rStyle w:val="italic"/>
          <w:spacing w:val="1"/>
        </w:rPr>
        <w:t>A</w:t>
      </w:r>
      <w:r>
        <w:rPr>
          <w:spacing w:val="1"/>
        </w:rPr>
        <w:t xml:space="preserve"> retains only the claim “aggression is proper,” then he is failing to object to his imprisonment; thus, the question of justifying the punishment does not arise. By claiming that aggression is proper, </w:t>
      </w:r>
      <w:r>
        <w:rPr>
          <w:rStyle w:val="italic"/>
          <w:spacing w:val="1"/>
        </w:rPr>
        <w:t>A</w:t>
      </w:r>
      <w:r>
        <w:rPr>
          <w:spacing w:val="1"/>
        </w:rPr>
        <w:t xml:space="preserve"> consents to his punishment. If, on the other hand, </w:t>
      </w:r>
      <w:r>
        <w:rPr>
          <w:rStyle w:val="italic"/>
          <w:spacing w:val="1"/>
        </w:rPr>
        <w:t>A</w:t>
      </w:r>
      <w:r>
        <w:rPr>
          <w:spacing w:val="1"/>
        </w:rPr>
        <w:t xml:space="preserve"> drops his claim that “aggression is proper” and retains only his claim that “aggression is wrong,” he indeed could object to his imprisonment. As we shall see below, it is impossible for him to drop the claim that “aggression is proper” just as it would be impossible for him to avoid maintaining that he exists or that he can argue.</w:t>
      </w:r>
    </w:p>
    <w:p w14:paraId="6878C775" w14:textId="77777777" w:rsidR="00B64282" w:rsidRDefault="00B64282" w:rsidP="00B64282">
      <w:pPr>
        <w:pStyle w:val="body"/>
      </w:pPr>
      <w:r>
        <w:t xml:space="preserve">To restate, </w:t>
      </w:r>
      <w:r>
        <w:rPr>
          <w:rStyle w:val="italic"/>
        </w:rPr>
        <w:t>A</w:t>
      </w:r>
      <w:r>
        <w:t xml:space="preserve"> cannot consistently claim that murder is wrong, for it contradicts his view that murder is </w:t>
      </w:r>
      <w:r>
        <w:rPr>
          <w:rStyle w:val="italic"/>
        </w:rPr>
        <w:t>not</w:t>
      </w:r>
      <w:r>
        <w:t xml:space="preserve"> wrong, evidenced by or made manifest in his previous act of murder. </w:t>
      </w:r>
      <w:r>
        <w:rPr>
          <w:rStyle w:val="italic"/>
        </w:rPr>
        <w:t>A</w:t>
      </w:r>
      <w:r>
        <w:t xml:space="preserve"> is estopped from asserting such inconsistent claims. Therefore, if </w:t>
      </w:r>
      <w:r>
        <w:rPr>
          <w:rStyle w:val="italic"/>
        </w:rPr>
        <w:t>C</w:t>
      </w:r>
      <w:r>
        <w:t xml:space="preserve"> attempts to kill </w:t>
      </w:r>
      <w:r>
        <w:rPr>
          <w:rStyle w:val="italic"/>
        </w:rPr>
        <w:t>A</w:t>
      </w:r>
      <w:r>
        <w:t xml:space="preserve">, </w:t>
      </w:r>
      <w:r>
        <w:rPr>
          <w:rStyle w:val="italic"/>
        </w:rPr>
        <w:t>A</w:t>
      </w:r>
      <w:r>
        <w:t xml:space="preserve"> has no grounds for objecting since he cannot now say that such a killing by </w:t>
      </w:r>
      <w:r>
        <w:rPr>
          <w:rStyle w:val="italic"/>
        </w:rPr>
        <w:t>C</w:t>
      </w:r>
      <w:r>
        <w:t xml:space="preserve"> is “wrong,” “immoral,” or “improper” or that it would violate his “rights.” And if </w:t>
      </w:r>
      <w:r>
        <w:rPr>
          <w:rStyle w:val="italic"/>
        </w:rPr>
        <w:t>A</w:t>
      </w:r>
      <w:r>
        <w:t xml:space="preserve"> cannot complain if </w:t>
      </w:r>
      <w:r>
        <w:rPr>
          <w:rStyle w:val="italic"/>
        </w:rPr>
        <w:t>C</w:t>
      </w:r>
      <w:r>
        <w:t xml:space="preserve"> proposes to kill him, then, </w:t>
      </w:r>
      <w:r>
        <w:rPr>
          <w:rStyle w:val="italic"/>
        </w:rPr>
        <w:t>a fortiori</w:t>
      </w:r>
      <w:r>
        <w:t xml:space="preserve">, he surely cannot complain if </w:t>
      </w:r>
      <w:r>
        <w:rPr>
          <w:rStyle w:val="italic"/>
        </w:rPr>
        <w:t>C</w:t>
      </w:r>
      <w:r>
        <w:t xml:space="preserve"> merely imprisons him.</w:t>
      </w:r>
      <w:r>
        <w:rPr>
          <w:rStyle w:val="FootnoteInTextNumber"/>
        </w:rPr>
        <w:footnoteReference w:id="42"/>
      </w:r>
      <w:r>
        <w:t xml:space="preserve"> Thus, we can legitimately apply force to—punish—a murderer </w:t>
      </w:r>
      <w:r>
        <w:lastRenderedPageBreak/>
        <w:t xml:space="preserve">in response to the crime. (And of course, if an aggressor may be punished after the fact, force used in self-defense is, </w:t>
      </w:r>
      <w:r>
        <w:rPr>
          <w:rStyle w:val="italic"/>
        </w:rPr>
        <w:t>a fortiori</w:t>
      </w:r>
      <w:r>
        <w:t>, obviously justified.)</w:t>
      </w:r>
      <w:r>
        <w:rPr>
          <w:rStyle w:val="FootnoteInTextNumber"/>
        </w:rPr>
        <w:footnoteReference w:id="43"/>
      </w:r>
      <w:r>
        <w:t xml:space="preserve"> </w:t>
      </w:r>
    </w:p>
    <w:p w14:paraId="7C88CA90" w14:textId="77777777" w:rsidR="00B64282" w:rsidRDefault="00B64282" w:rsidP="00B64282">
      <w:pPr>
        <w:pStyle w:val="body"/>
      </w:pPr>
      <w:r>
        <w:t>Because the essence of rights is their legitimate enforceability, this establishes a right to life—that is, to not be murdered. It is easy to see how this example may be extended to less severe forms of aggression, such as assault and battery, kidnapping, and rape.</w:t>
      </w:r>
      <w:r>
        <w:rPr>
          <w:rStyle w:val="FootnoteInTextNumber"/>
        </w:rPr>
        <w:footnoteReference w:id="44"/>
      </w:r>
      <w:r>
        <w:t xml:space="preserve"> </w:t>
      </w:r>
    </w:p>
    <w:p w14:paraId="26CFE835" w14:textId="77777777" w:rsidR="00B64282" w:rsidRDefault="00B64282" w:rsidP="00B64282">
      <w:pPr>
        <w:pStyle w:val="Subhead2"/>
      </w:pPr>
      <w:r>
        <w:t>D. Potential Defenses by the Aggressor</w:t>
      </w:r>
    </w:p>
    <w:p w14:paraId="110BF054" w14:textId="77777777" w:rsidR="00B64282" w:rsidRDefault="00B64282" w:rsidP="00B64282">
      <w:pPr>
        <w:pStyle w:val="FirstParagraph"/>
      </w:pPr>
      <w:r>
        <w:rPr>
          <w:rStyle w:val="italic"/>
        </w:rPr>
        <w:t>A</w:t>
      </w:r>
      <w:r>
        <w:t xml:space="preserve"> might assert several possible objections to this whole procedure. None of them bear scrutiny, however.</w:t>
      </w:r>
    </w:p>
    <w:p w14:paraId="120F8D67" w14:textId="77777777" w:rsidR="00B64282" w:rsidRDefault="00B64282" w:rsidP="00B64282">
      <w:pPr>
        <w:pStyle w:val="Subhead3"/>
      </w:pPr>
      <w:r>
        <w:t>1. The Concept of Aggression</w:t>
      </w:r>
    </w:p>
    <w:p w14:paraId="79B05572" w14:textId="77777777" w:rsidR="00B64282" w:rsidRDefault="00B64282" w:rsidP="00B64282">
      <w:pPr>
        <w:pStyle w:val="FirstParagraph"/>
        <w:rPr>
          <w:spacing w:val="1"/>
        </w:rPr>
      </w:pPr>
      <w:r>
        <w:rPr>
          <w:spacing w:val="1"/>
        </w:rPr>
        <w:t xml:space="preserve">First, </w:t>
      </w:r>
      <w:r>
        <w:rPr>
          <w:rStyle w:val="italic"/>
          <w:spacing w:val="1"/>
        </w:rPr>
        <w:t>A</w:t>
      </w:r>
      <w:r>
        <w:rPr>
          <w:spacing w:val="1"/>
        </w:rPr>
        <w:t xml:space="preserve"> might claim that the classification of actions as either aggressive or not aggressive is invalid. We might be smuggling in a norm </w:t>
      </w:r>
      <w:r>
        <w:rPr>
          <w:spacing w:val="-1"/>
        </w:rPr>
        <w:t>or value judgment just by describing murder as “aggressive” rather</w:t>
      </w:r>
      <w:r>
        <w:rPr>
          <w:spacing w:val="1"/>
        </w:rPr>
        <w:t xml:space="preserve"> than merely describing the murder without evaluative overtones. This smuggled norm might be what apparently justifies the legitimacy of punishing </w:t>
      </w:r>
      <w:r>
        <w:rPr>
          <w:rStyle w:val="italic"/>
          <w:spacing w:val="1"/>
        </w:rPr>
        <w:t>A</w:t>
      </w:r>
      <w:r>
        <w:rPr>
          <w:spacing w:val="1"/>
        </w:rPr>
        <w:t xml:space="preserve">, thus making the justification circular and, therefore, faulty. However, </w:t>
      </w:r>
      <w:proofErr w:type="gramStart"/>
      <w:r>
        <w:rPr>
          <w:spacing w:val="1"/>
        </w:rPr>
        <w:t>in order to</w:t>
      </w:r>
      <w:proofErr w:type="gramEnd"/>
      <w:r>
        <w:rPr>
          <w:spacing w:val="1"/>
        </w:rPr>
        <w:t xml:space="preserve"> object to our punishment of him, </w:t>
      </w:r>
      <w:r>
        <w:rPr>
          <w:rStyle w:val="italic"/>
          <w:spacing w:val="1"/>
        </w:rPr>
        <w:t>A</w:t>
      </w:r>
      <w:r>
        <w:rPr>
          <w:spacing w:val="1"/>
        </w:rPr>
        <w:t xml:space="preserve"> must admit the validity of describing some actions as forceful—namely, his imminent punishment. If he denies that any actions can be objectively described as being coercive, he has no grounds to object to imprisonment, for he cannot even be certain what constitutes punishment, and we may proceed to punish him. The moment he objects to this use of force, he cannot help admitting that at least some actions can be objectively classified as involving force. Thus, he is estopped from objecting on these grounds.</w:t>
      </w:r>
    </w:p>
    <w:p w14:paraId="7CCAFCFB" w14:textId="77777777" w:rsidR="00B64282" w:rsidRDefault="00B64282" w:rsidP="00B64282">
      <w:pPr>
        <w:pStyle w:val="Subhead3"/>
      </w:pPr>
      <w:r>
        <w:t>2. Universalizability</w:t>
      </w:r>
    </w:p>
    <w:p w14:paraId="12583215" w14:textId="77777777" w:rsidR="00B64282" w:rsidRDefault="00B64282" w:rsidP="00B64282">
      <w:pPr>
        <w:pStyle w:val="FirstParagraph"/>
        <w:rPr>
          <w:spacing w:val="2"/>
        </w:rPr>
      </w:pPr>
      <w:r>
        <w:rPr>
          <w:spacing w:val="2"/>
        </w:rPr>
        <w:t xml:space="preserve">It could also be objected that the estoppel principle is being improperly applied and that </w:t>
      </w:r>
      <w:r>
        <w:rPr>
          <w:rStyle w:val="italic"/>
          <w:spacing w:val="2"/>
        </w:rPr>
        <w:t>A</w:t>
      </w:r>
      <w:r>
        <w:rPr>
          <w:spacing w:val="2"/>
        </w:rPr>
        <w:t xml:space="preserve"> is not, in fact, asserting inconsistent claims. Instead of having the contradictory views that “aggression is proper” and “aggression is improper,” </w:t>
      </w:r>
      <w:r>
        <w:rPr>
          <w:rStyle w:val="italic"/>
          <w:spacing w:val="2"/>
        </w:rPr>
        <w:t>A</w:t>
      </w:r>
      <w:r>
        <w:rPr>
          <w:spacing w:val="2"/>
        </w:rPr>
        <w:t xml:space="preserve"> could claim to hold the consistent positions that “</w:t>
      </w:r>
      <w:r>
        <w:rPr>
          <w:rStyle w:val="italic"/>
          <w:spacing w:val="2"/>
        </w:rPr>
        <w:t>aggression by me</w:t>
      </w:r>
      <w:r>
        <w:rPr>
          <w:spacing w:val="2"/>
        </w:rPr>
        <w:t xml:space="preserve"> is proper” and “aggression by others against me is improper.” However, we must recall that </w:t>
      </w:r>
      <w:r>
        <w:rPr>
          <w:rStyle w:val="italic"/>
          <w:spacing w:val="2"/>
        </w:rPr>
        <w:t>A</w:t>
      </w:r>
      <w:r>
        <w:rPr>
          <w:spacing w:val="2"/>
        </w:rPr>
        <w:t xml:space="preserve">, in objecting to </w:t>
      </w:r>
      <w:r>
        <w:rPr>
          <w:rStyle w:val="italic"/>
          <w:spacing w:val="2"/>
        </w:rPr>
        <w:t>C</w:t>
      </w:r>
      <w:r>
        <w:rPr>
          <w:spacing w:val="2"/>
        </w:rPr>
        <w:t xml:space="preserve">’s imprisonment of him, is engaging in argument. He is arguing that </w:t>
      </w:r>
      <w:r>
        <w:rPr>
          <w:rStyle w:val="italic"/>
          <w:spacing w:val="2"/>
        </w:rPr>
        <w:t>C</w:t>
      </w:r>
      <w:r>
        <w:rPr>
          <w:spacing w:val="2"/>
        </w:rPr>
        <w:t xml:space="preserve"> </w:t>
      </w:r>
      <w:r>
        <w:rPr>
          <w:rStyle w:val="italic"/>
          <w:spacing w:val="2"/>
        </w:rPr>
        <w:t>should not</w:t>
      </w:r>
      <w:r>
        <w:rPr>
          <w:spacing w:val="2"/>
        </w:rPr>
        <w:t>—</w:t>
      </w:r>
      <w:r>
        <w:rPr>
          <w:spacing w:val="2"/>
        </w:rPr>
        <w:lastRenderedPageBreak/>
        <w:t>for some good reason—imprison him, and so he is making normative assertions. But as Professor Hans-Hermann Hoppe points out:</w:t>
      </w:r>
    </w:p>
    <w:p w14:paraId="5C85FDB5" w14:textId="77777777" w:rsidR="00B64282" w:rsidRDefault="00B64282" w:rsidP="00B64282">
      <w:pPr>
        <w:pStyle w:val="blockquote"/>
      </w:pPr>
      <w:r>
        <w:t xml:space="preserve">Quite commonly it has been observed that argumentation implies that a </w:t>
      </w:r>
      <w:r>
        <w:rPr>
          <w:spacing w:val="-1"/>
        </w:rPr>
        <w:t xml:space="preserve">proposition claims </w:t>
      </w:r>
      <w:r>
        <w:rPr>
          <w:rStyle w:val="italic"/>
          <w:spacing w:val="-1"/>
        </w:rPr>
        <w:t>universal</w:t>
      </w:r>
      <w:r>
        <w:rPr>
          <w:spacing w:val="-1"/>
        </w:rPr>
        <w:t xml:space="preserve"> acceptability, </w:t>
      </w:r>
      <w:proofErr w:type="gramStart"/>
      <w:r>
        <w:rPr>
          <w:spacing w:val="-1"/>
        </w:rPr>
        <w:t>or,</w:t>
      </w:r>
      <w:proofErr w:type="gramEnd"/>
      <w:r>
        <w:rPr>
          <w:spacing w:val="-1"/>
        </w:rPr>
        <w:t xml:space="preserve"> should it be a norm proposal,</w:t>
      </w:r>
      <w:r>
        <w:t xml:space="preserve"> that it is “universalizable.” Applied to norm proposals, this is the idea, as formulated in the Golden Rule of ethics or in the Kantian Categorical Imperative, that only those norms can be justified that can be formulated as general principles which are valid for everyone without exception.</w:t>
      </w:r>
      <w:r>
        <w:rPr>
          <w:rStyle w:val="FootnoteInTextNumber"/>
        </w:rPr>
        <w:footnoteReference w:id="45"/>
      </w:r>
      <w:r>
        <w:t xml:space="preserve"> </w:t>
      </w:r>
    </w:p>
    <w:p w14:paraId="1B62FDCB" w14:textId="77777777" w:rsidR="00B64282" w:rsidRDefault="00B64282" w:rsidP="00B64282">
      <w:pPr>
        <w:pStyle w:val="FirstParagraph"/>
        <w:rPr>
          <w:spacing w:val="-2"/>
        </w:rPr>
      </w:pPr>
      <w:r>
        <w:rPr>
          <w:spacing w:val="-2"/>
        </w:rPr>
        <w:t>This is so because propositions made during argumentation claim universal acceptability. “[I]t is implied in argumentation that everyone who can understand an argument must in principle be able to be convinced by it simply because of its argumentative force…”</w:t>
      </w:r>
      <w:r>
        <w:rPr>
          <w:rStyle w:val="FootnoteInTextNumber"/>
          <w:spacing w:val="-2"/>
        </w:rPr>
        <w:footnoteReference w:id="46"/>
      </w:r>
      <w:r>
        <w:rPr>
          <w:spacing w:val="-2"/>
        </w:rPr>
        <w:t xml:space="preserve"> Thus, universalizability is a presupposition of normative discourse, and any arguer violating the principle of universalizability is maintaining inconsistent positions—that universalizability is required and that it is not—and is thus estopped from doing so. Only universalizable normative propositions are consistent with the principle of universalizability necessarily presupposed by the arguer in entering the discourse. As Hare points out:</w:t>
      </w:r>
    </w:p>
    <w:p w14:paraId="3FAF23F2" w14:textId="77777777" w:rsidR="00B64282" w:rsidRDefault="00B64282" w:rsidP="00B64282">
      <w:pPr>
        <w:pStyle w:val="blockquote"/>
      </w:pPr>
      <w:r>
        <w:t>Offenses against the thesis of universalizability are logical, not moral. If a person says ‘I ought to act in a certain way, but nobody else ought to act in that way in relevantly similar circumstances’, then ... he is abusing the word ‘ought’ he is implicitly contradicting himself.... [A]</w:t>
      </w:r>
      <w:proofErr w:type="spellStart"/>
      <w:r>
        <w:t>ll</w:t>
      </w:r>
      <w:proofErr w:type="spellEnd"/>
      <w:r>
        <w:t xml:space="preserve"> [the thesis of universalizability] does is to force people to choose between judgements which cannot both be asserted without self-contradiction.</w:t>
      </w:r>
      <w:r>
        <w:rPr>
          <w:rStyle w:val="FootnoteInTextNumber"/>
        </w:rPr>
        <w:footnoteReference w:id="47"/>
      </w:r>
      <w:r>
        <w:t xml:space="preserve"> </w:t>
      </w:r>
    </w:p>
    <w:p w14:paraId="3D02D487" w14:textId="77777777" w:rsidR="00B64282" w:rsidRDefault="00B64282" w:rsidP="00B64282">
      <w:pPr>
        <w:pStyle w:val="FirstParagraph"/>
        <w:rPr>
          <w:spacing w:val="2"/>
        </w:rPr>
      </w:pPr>
      <w:r>
        <w:rPr>
          <w:spacing w:val="2"/>
        </w:rPr>
        <w:t xml:space="preserve">The proper way, then, to select the norm that the arguer is asserting is to ensure that it is universalizable. The view that “aggression </w:t>
      </w:r>
      <w:r>
        <w:rPr>
          <w:rStyle w:val="italic"/>
          <w:spacing w:val="2"/>
        </w:rPr>
        <w:t>by me</w:t>
      </w:r>
      <w:r>
        <w:rPr>
          <w:spacing w:val="2"/>
        </w:rPr>
        <w:t xml:space="preserve"> is proper” and “aggression by the state against me is improper” clearly does not pass this test. The view that “aggression is or is not proper” is, by contrast, perfectly universalizable and is thus the proper form for a norm. An arguer cannot escape the application of estoppel by arbitrarily specializing otherwise inconsistent views with liberally sprinkled “for me </w:t>
      </w:r>
      <w:proofErr w:type="spellStart"/>
      <w:r>
        <w:rPr>
          <w:spacing w:val="2"/>
        </w:rPr>
        <w:t>only’s</w:t>
      </w:r>
      <w:proofErr w:type="spellEnd"/>
      <w:r>
        <w:rPr>
          <w:spacing w:val="2"/>
        </w:rPr>
        <w:t>.”</w:t>
      </w:r>
      <w:r>
        <w:rPr>
          <w:rStyle w:val="FootnoteInTextNumber"/>
          <w:spacing w:val="2"/>
        </w:rPr>
        <w:footnoteReference w:id="48"/>
      </w:r>
      <w:r>
        <w:rPr>
          <w:spacing w:val="2"/>
        </w:rPr>
        <w:t xml:space="preserve"> </w:t>
      </w:r>
    </w:p>
    <w:p w14:paraId="30A0222D" w14:textId="77777777" w:rsidR="00B64282" w:rsidRDefault="00B64282" w:rsidP="00B64282">
      <w:pPr>
        <w:pStyle w:val="body"/>
        <w:rPr>
          <w:spacing w:val="2"/>
        </w:rPr>
      </w:pPr>
      <w:r>
        <w:rPr>
          <w:spacing w:val="2"/>
        </w:rPr>
        <w:lastRenderedPageBreak/>
        <w:t xml:space="preserve">Furthermore, even if </w:t>
      </w:r>
      <w:r>
        <w:rPr>
          <w:rStyle w:val="italic"/>
          <w:spacing w:val="2"/>
        </w:rPr>
        <w:t>A</w:t>
      </w:r>
      <w:r>
        <w:rPr>
          <w:spacing w:val="2"/>
        </w:rPr>
        <w:t xml:space="preserve"> denies the validity of the principle of universalizability and maintains that he can particularize norms, he cannot object if </w:t>
      </w:r>
      <w:r>
        <w:rPr>
          <w:rStyle w:val="italic"/>
          <w:spacing w:val="2"/>
        </w:rPr>
        <w:t>C</w:t>
      </w:r>
      <w:r>
        <w:rPr>
          <w:spacing w:val="2"/>
        </w:rPr>
        <w:t xml:space="preserve"> does the same. If </w:t>
      </w:r>
      <w:r>
        <w:rPr>
          <w:rStyle w:val="italic"/>
          <w:spacing w:val="2"/>
        </w:rPr>
        <w:t>A</w:t>
      </w:r>
      <w:r>
        <w:rPr>
          <w:spacing w:val="2"/>
        </w:rPr>
        <w:t xml:space="preserve"> admits that norms may be particularized, </w:t>
      </w:r>
      <w:r>
        <w:rPr>
          <w:rStyle w:val="italic"/>
          <w:spacing w:val="2"/>
        </w:rPr>
        <w:t>C</w:t>
      </w:r>
      <w:r>
        <w:rPr>
          <w:spacing w:val="2"/>
        </w:rPr>
        <w:t xml:space="preserve"> may simply act on the </w:t>
      </w:r>
      <w:proofErr w:type="gramStart"/>
      <w:r>
        <w:rPr>
          <w:spacing w:val="2"/>
        </w:rPr>
        <w:t>particular norm</w:t>
      </w:r>
      <w:proofErr w:type="gramEnd"/>
      <w:r>
        <w:rPr>
          <w:spacing w:val="2"/>
        </w:rPr>
        <w:t xml:space="preserve"> that “It is permissible to punish </w:t>
      </w:r>
      <w:r>
        <w:rPr>
          <w:rStyle w:val="italic"/>
          <w:spacing w:val="2"/>
        </w:rPr>
        <w:t>A</w:t>
      </w:r>
      <w:r>
        <w:rPr>
          <w:spacing w:val="2"/>
        </w:rPr>
        <w:t>.”</w:t>
      </w:r>
    </w:p>
    <w:p w14:paraId="0A4BD7BE" w14:textId="77777777" w:rsidR="00B64282" w:rsidRDefault="00B64282" w:rsidP="00B64282">
      <w:pPr>
        <w:pStyle w:val="Subhead3"/>
      </w:pPr>
      <w:r>
        <w:t>3. Time</w:t>
      </w:r>
    </w:p>
    <w:p w14:paraId="1AA03AC4" w14:textId="77777777" w:rsidR="00B64282" w:rsidRDefault="00B64282" w:rsidP="00B64282">
      <w:pPr>
        <w:pStyle w:val="FirstParagraph"/>
      </w:pPr>
      <w:r>
        <w:rPr>
          <w:rStyle w:val="italic"/>
        </w:rPr>
        <w:t>A</w:t>
      </w:r>
      <w:r>
        <w:t xml:space="preserve"> could also attempt to rebut this application of estoppel by claiming that he, in fact, </w:t>
      </w:r>
      <w:r>
        <w:rPr>
          <w:rStyle w:val="italic"/>
        </w:rPr>
        <w:t>does</w:t>
      </w:r>
      <w:r>
        <w:t xml:space="preserve"> currently maintain that aggression is improper and that he has changed his mind since the time when </w:t>
      </w:r>
      <w:r>
        <w:rPr>
          <w:rStyle w:val="italic"/>
        </w:rPr>
        <w:t>B</w:t>
      </w:r>
      <w:r>
        <w:t xml:space="preserve"> was murdered. Thus, there is no inconsistency or contradiction because he does not simultaneously hold both contradictory ideas and is not estopped from objecting to imprisonment.</w:t>
      </w:r>
      <w:r>
        <w:rPr>
          <w:rStyle w:val="FootnoteInTextNumber"/>
        </w:rPr>
        <w:footnoteReference w:id="49"/>
      </w:r>
      <w:r>
        <w:t xml:space="preserve"> </w:t>
      </w:r>
    </w:p>
    <w:p w14:paraId="0FFB2129" w14:textId="77777777" w:rsidR="00B64282" w:rsidRDefault="00B64282" w:rsidP="00B64282">
      <w:pPr>
        <w:pStyle w:val="body"/>
        <w:rPr>
          <w:spacing w:val="2"/>
        </w:rPr>
      </w:pPr>
      <w:r>
        <w:rPr>
          <w:spacing w:val="2"/>
        </w:rPr>
        <w:t xml:space="preserve">But this is a simple matter to overcome. First, </w:t>
      </w:r>
      <w:r>
        <w:rPr>
          <w:rStyle w:val="italic"/>
          <w:spacing w:val="2"/>
        </w:rPr>
        <w:t>A</w:t>
      </w:r>
      <w:r>
        <w:rPr>
          <w:spacing w:val="2"/>
        </w:rPr>
        <w:t xml:space="preserve"> is implicitly claiming that the passage of time should be </w:t>
      </w:r>
      <w:proofErr w:type="gramStart"/>
      <w:r>
        <w:rPr>
          <w:spacing w:val="2"/>
        </w:rPr>
        <w:t>taken into account</w:t>
      </w:r>
      <w:proofErr w:type="gramEnd"/>
      <w:r>
        <w:rPr>
          <w:spacing w:val="2"/>
        </w:rPr>
        <w:t xml:space="preserve"> when </w:t>
      </w:r>
      <w:r>
        <w:t xml:space="preserve">determining what actions to impute to him. But then, if this is true, all </w:t>
      </w:r>
      <w:r>
        <w:rPr>
          <w:rStyle w:val="italic"/>
        </w:rPr>
        <w:t>C</w:t>
      </w:r>
      <w:r>
        <w:t xml:space="preserve"> needs to do is administer the punishment and afterwards assert that all is in the past and that </w:t>
      </w:r>
      <w:r>
        <w:rPr>
          <w:rStyle w:val="italic"/>
        </w:rPr>
        <w:t>C</w:t>
      </w:r>
      <w:r>
        <w:t xml:space="preserve">, like </w:t>
      </w:r>
      <w:r>
        <w:rPr>
          <w:rStyle w:val="italic"/>
        </w:rPr>
        <w:t>A</w:t>
      </w:r>
      <w:r>
        <w:t xml:space="preserve">, now condemns its prior action. Since the impermissible action is “in the past,” it can no longer be imputed to </w:t>
      </w:r>
      <w:r>
        <w:rPr>
          <w:rStyle w:val="italic"/>
        </w:rPr>
        <w:t>C</w:t>
      </w:r>
      <w:r>
        <w:t xml:space="preserve">. Indeed, if such an absurd simultaneity requirement is operative, at every successive moment of the punishment, any objection or defensive action by </w:t>
      </w:r>
      <w:r>
        <w:rPr>
          <w:rStyle w:val="italic"/>
        </w:rPr>
        <w:t>A</w:t>
      </w:r>
      <w:r>
        <w:t xml:space="preserve"> is directed at actions in the immediate past and thus become immediately irrelevant and past-directed. Therefore, the irrelevance of the mere passage of time cannot be denied by </w:t>
      </w:r>
      <w:r>
        <w:rPr>
          <w:rStyle w:val="italic"/>
        </w:rPr>
        <w:t>A</w:t>
      </w:r>
      <w:r>
        <w:t>,</w:t>
      </w:r>
      <w:r>
        <w:rPr>
          <w:rStyle w:val="FootnoteInTextNumber"/>
        </w:rPr>
        <w:footnoteReference w:id="50"/>
      </w:r>
      <w:r>
        <w:t xml:space="preserve"> for </w:t>
      </w:r>
      <w:proofErr w:type="gramStart"/>
      <w:r>
        <w:t>in order to</w:t>
      </w:r>
      <w:proofErr w:type="gramEnd"/>
      <w:r>
        <w:t xml:space="preserve"> effectively object to being punished, </w:t>
      </w:r>
      <w:r>
        <w:rPr>
          <w:rStyle w:val="italic"/>
        </w:rPr>
        <w:t>A</w:t>
      </w:r>
      <w:r>
        <w:t xml:space="preserve"> must presume that the passage of time does not make a difference to imputing responsibility-incurring actions to individuals.</w:t>
      </w:r>
      <w:r>
        <w:rPr>
          <w:rStyle w:val="FootnoteInTextNumber"/>
        </w:rPr>
        <w:footnoteReference w:id="51"/>
      </w:r>
      <w:r>
        <w:t xml:space="preserve"> </w:t>
      </w:r>
    </w:p>
    <w:p w14:paraId="3033DEF6" w14:textId="77777777" w:rsidR="00B64282" w:rsidRDefault="00B64282" w:rsidP="00B64282">
      <w:pPr>
        <w:pStyle w:val="body"/>
        <w:rPr>
          <w:spacing w:val="-1"/>
        </w:rPr>
      </w:pPr>
      <w:r>
        <w:rPr>
          <w:spacing w:val="-1"/>
        </w:rPr>
        <w:t xml:space="preserve">Second, in objecting to punishment in the present, </w:t>
      </w:r>
      <w:r>
        <w:rPr>
          <w:rStyle w:val="italic"/>
          <w:spacing w:val="-1"/>
        </w:rPr>
        <w:t>A</w:t>
      </w:r>
      <w:r>
        <w:rPr>
          <w:spacing w:val="-1"/>
        </w:rPr>
        <w:t xml:space="preserve"> necessarily maintains that force must not and should not occur. Even if he really does no longer believe that murder is proper, by his own current view, the earlier murder was still improper. He necessarily denounces his earlier actions and is estopped from objecting to his punishment imposed on that murderer—namely, himself. To maintain that a murderer should not be punished is inconsistent with a claim that murder should not and must not occur.</w:t>
      </w:r>
    </w:p>
    <w:p w14:paraId="50FD5EA1" w14:textId="77777777" w:rsidR="00B64282" w:rsidRDefault="00B64282" w:rsidP="00B64282">
      <w:pPr>
        <w:pStyle w:val="body"/>
      </w:pPr>
      <w:r>
        <w:lastRenderedPageBreak/>
        <w:t xml:space="preserve">Third, even if </w:t>
      </w:r>
      <w:r>
        <w:rPr>
          <w:rStyle w:val="italic"/>
        </w:rPr>
        <w:t>A</w:t>
      </w:r>
      <w:r>
        <w:t xml:space="preserve"> argues that he never held the view that “murder is not wrong” and that he murdered despite holding it to be wrong,</w:t>
      </w:r>
      <w:r>
        <w:rPr>
          <w:rStyle w:val="FootnoteInTextNumber"/>
        </w:rPr>
        <w:footnoteReference w:id="52"/>
      </w:r>
      <w:r>
        <w:t xml:space="preserve"> he still admits that murder is wrong and that he, in fact, did murder </w:t>
      </w:r>
      <w:r>
        <w:rPr>
          <w:rStyle w:val="italic"/>
        </w:rPr>
        <w:t>B</w:t>
      </w:r>
      <w:r>
        <w:t xml:space="preserve"> and still ends up denouncing his earlier action. Thus, </w:t>
      </w:r>
      <w:r>
        <w:rPr>
          <w:rStyle w:val="italic"/>
        </w:rPr>
        <w:t>A</w:t>
      </w:r>
      <w:r>
        <w:t xml:space="preserve"> is again estopped from objecting to the punishment as in the situation where he claims to have changed his mind. Finally, if </w:t>
      </w:r>
      <w:r>
        <w:rPr>
          <w:rStyle w:val="italic"/>
        </w:rPr>
        <w:t>A</w:t>
      </w:r>
      <w:r>
        <w:t xml:space="preserve"> maintains that it is possible to administer force while simultaneously holding it to be wrong, the same applies to </w:t>
      </w:r>
      <w:r>
        <w:rPr>
          <w:rStyle w:val="italic"/>
        </w:rPr>
        <w:t>C</w:t>
      </w:r>
      <w:r>
        <w:t xml:space="preserve">. So even if </w:t>
      </w:r>
      <w:r>
        <w:rPr>
          <w:rStyle w:val="italic"/>
        </w:rPr>
        <w:t>C</w:t>
      </w:r>
      <w:r>
        <w:t xml:space="preserve"> is convinced by </w:t>
      </w:r>
      <w:r>
        <w:rPr>
          <w:rStyle w:val="italic"/>
        </w:rPr>
        <w:t>A</w:t>
      </w:r>
      <w:r>
        <w:t xml:space="preserve">’s argument that it would be wrong to punish </w:t>
      </w:r>
      <w:r>
        <w:rPr>
          <w:rStyle w:val="italic"/>
        </w:rPr>
        <w:t>A</w:t>
      </w:r>
      <w:r>
        <w:t xml:space="preserve">, </w:t>
      </w:r>
      <w:r>
        <w:rPr>
          <w:rStyle w:val="italic"/>
        </w:rPr>
        <w:t>C</w:t>
      </w:r>
      <w:r>
        <w:t xml:space="preserve"> may go ahead and do so despite this realization, just as </w:t>
      </w:r>
      <w:r>
        <w:rPr>
          <w:rStyle w:val="italic"/>
        </w:rPr>
        <w:t>A</w:t>
      </w:r>
      <w:r>
        <w:t xml:space="preserve"> himself claims to have done.</w:t>
      </w:r>
      <w:r>
        <w:rPr>
          <w:rStyle w:val="FootnoteInTextNumber"/>
        </w:rPr>
        <w:footnoteReference w:id="53"/>
      </w:r>
      <w:r>
        <w:t xml:space="preserve"> Thus, whether </w:t>
      </w:r>
      <w:r>
        <w:rPr>
          <w:rStyle w:val="italic"/>
        </w:rPr>
        <w:t>A</w:t>
      </w:r>
      <w:r>
        <w:t xml:space="preserve"> currently holds both views, </w:t>
      </w:r>
      <w:proofErr w:type="gramStart"/>
      <w:r>
        <w:t>or</w:t>
      </w:r>
      <w:proofErr w:type="gramEnd"/>
      <w:r>
        <w:t xml:space="preserve"> only one of them, he is still estopped from objecting to the imprisonment.</w:t>
      </w:r>
    </w:p>
    <w:p w14:paraId="23242978" w14:textId="77777777" w:rsidR="00B64282" w:rsidRDefault="00B64282" w:rsidP="00B64282">
      <w:pPr>
        <w:pStyle w:val="body"/>
      </w:pPr>
      <w:r>
        <w:t>Thus, we can see that applying the principle of estoppel would not hinder the prevention and punishment of violent crimes. The above murder analysis can be applied to any sort of coercive, violent crime. All the classical violent crimes would still be as preventable under the proposed scheme as they are today. All forms of aggression—rape, theft, murder, assault, trespass—would still be legitimately punishable crimes. A rapist, for example, could only complain about being imprisoned by saying that his rights are being violated by the aggressive imprisonment, but he would be estopped from saying that aggression is wrong. In general, any aggressive act—one involving the initiation of violence—would cause an inconsistency with the actor later claiming that he should not be imprisoned or punished in some manner.</w:t>
      </w:r>
    </w:p>
    <w:p w14:paraId="3D57B869" w14:textId="77777777" w:rsidR="00B64282" w:rsidRDefault="00B64282" w:rsidP="00B64282">
      <w:pPr>
        <w:pStyle w:val="Subhead2"/>
      </w:pPr>
      <w:r>
        <w:t>E. Punishing Nonaggressive Behavior</w:t>
      </w:r>
    </w:p>
    <w:p w14:paraId="694A697C" w14:textId="77777777" w:rsidR="00B64282" w:rsidRDefault="00B64282" w:rsidP="00B64282">
      <w:pPr>
        <w:pStyle w:val="FirstParagraph"/>
      </w:pPr>
      <w:r>
        <w:t xml:space="preserve">As seen above, punishment of aggression can be justified because the use of force in response to force cannot sensibly be condemned as a violation of the rights of the original aggressor. Is it ever </w:t>
      </w:r>
      <w:proofErr w:type="gramStart"/>
      <w:r>
        <w:t>legitimate</w:t>
      </w:r>
      <w:proofErr w:type="gramEnd"/>
      <w:r>
        <w:t xml:space="preserve"> to punish someone for </w:t>
      </w:r>
      <w:r>
        <w:rPr>
          <w:rStyle w:val="italic"/>
        </w:rPr>
        <w:t>non</w:t>
      </w:r>
      <w:r>
        <w:t>aggressive behavior? If not, then this means that rights can only be negative rights against the initiation of force. As argued below, no such punishment is ever justified because punishment is the application of force to which a person is not estopped from objecting unless that person has initiated force. Otherwise, there is no inconsistency. Thus, nonaggressive force, consented-to force, and actions not involving force may not be punished.</w:t>
      </w:r>
    </w:p>
    <w:p w14:paraId="66BDB5FA" w14:textId="77777777" w:rsidR="00B64282" w:rsidRDefault="00B64282" w:rsidP="00B64282">
      <w:pPr>
        <w:pStyle w:val="body"/>
      </w:pPr>
      <w:r>
        <w:t xml:space="preserve">First, a nonaggressive use of force, such as retaliation against aggression, cannot be justly punished. If someone were to attempt to punish </w:t>
      </w:r>
      <w:r>
        <w:rPr>
          <w:rStyle w:val="italic"/>
        </w:rPr>
        <w:t>B</w:t>
      </w:r>
      <w:r>
        <w:t xml:space="preserve"> for retaliating against aggressor </w:t>
      </w:r>
      <w:r>
        <w:rPr>
          <w:rStyle w:val="italic"/>
        </w:rPr>
        <w:t>A</w:t>
      </w:r>
      <w:r>
        <w:t xml:space="preserve">, </w:t>
      </w:r>
      <w:r>
        <w:rPr>
          <w:rStyle w:val="italic"/>
        </w:rPr>
        <w:t>B</w:t>
      </w:r>
      <w:r>
        <w:t xml:space="preserve"> is </w:t>
      </w:r>
      <w:r>
        <w:rPr>
          <w:rStyle w:val="italic"/>
        </w:rPr>
        <w:t>not</w:t>
      </w:r>
      <w:r>
        <w:t xml:space="preserve"> estopped from objecting. There is nothing inconsistent or </w:t>
      </w:r>
      <w:proofErr w:type="spellStart"/>
      <w:r>
        <w:t>nonuniversalizable</w:t>
      </w:r>
      <w:proofErr w:type="spellEnd"/>
      <w:r>
        <w:t xml:space="preserve"> about maintaining both that (1) the use of retaliatory force in response to the initiation of force is proper—the implicit claim involved in retaliation against </w:t>
      </w:r>
      <w:r>
        <w:rPr>
          <w:rStyle w:val="italic"/>
        </w:rPr>
        <w:t>A</w:t>
      </w:r>
      <w:r>
        <w:t xml:space="preserve">—and (2) the use of force not in response to the initiation of force is improper—the basis for </w:t>
      </w:r>
      <w:r>
        <w:rPr>
          <w:rStyle w:val="italic"/>
        </w:rPr>
        <w:t>B</w:t>
      </w:r>
      <w:r>
        <w:t xml:space="preserve">’s objection to his own punishment. In short, the initiation of force is different from retaliatory force; retaliation is not aggression. </w:t>
      </w:r>
      <w:r>
        <w:rPr>
          <w:rStyle w:val="italic"/>
        </w:rPr>
        <w:t>B</w:t>
      </w:r>
      <w:r>
        <w:t xml:space="preserve"> can easily show that the maxim of his action is “the use of force against an aggressor is legitimate,” which does not contradict “the use of force against </w:t>
      </w:r>
      <w:proofErr w:type="spellStart"/>
      <w:r>
        <w:lastRenderedPageBreak/>
        <w:t>nonaggressors</w:t>
      </w:r>
      <w:proofErr w:type="spellEnd"/>
      <w:r>
        <w:t xml:space="preserve"> is illegitimate.” Rather than being a </w:t>
      </w:r>
      <w:proofErr w:type="spellStart"/>
      <w:r>
        <w:t>particularizable</w:t>
      </w:r>
      <w:proofErr w:type="spellEnd"/>
      <w:r>
        <w:t xml:space="preserve"> claim that does not pass the universalizability test, </w:t>
      </w:r>
      <w:r>
        <w:rPr>
          <w:rStyle w:val="italic"/>
        </w:rPr>
        <w:t>B</w:t>
      </w:r>
      <w:r>
        <w:t xml:space="preserve">’s position is tailored to the actual nature of his prior action. The universalizability principle prevents only arbitrary, biased statements not grounded </w:t>
      </w:r>
      <w:proofErr w:type="gramStart"/>
      <w:r>
        <w:t>in the nature of things</w:t>
      </w:r>
      <w:proofErr w:type="gramEnd"/>
      <w:r>
        <w:t>.</w:t>
      </w:r>
      <w:r>
        <w:rPr>
          <w:rStyle w:val="FootnoteInTextNumber"/>
        </w:rPr>
        <w:footnoteReference w:id="54"/>
      </w:r>
      <w:r>
        <w:t xml:space="preserve"> Thus, the mere use of force is not enough to estop someone from complaining about being punished for the use of force. It is only aggression, that is, </w:t>
      </w:r>
      <w:r>
        <w:rPr>
          <w:rStyle w:val="italic"/>
        </w:rPr>
        <w:t>initiated</w:t>
      </w:r>
      <w:r>
        <w:t xml:space="preserve"> force, that estops a person from complaining about force used against that person.</w:t>
      </w:r>
    </w:p>
    <w:p w14:paraId="16FB224C" w14:textId="77777777" w:rsidR="00B64282" w:rsidRDefault="00B64282" w:rsidP="00B64282">
      <w:pPr>
        <w:pStyle w:val="body"/>
      </w:pPr>
      <w:r>
        <w:t xml:space="preserve">Similarly, if </w:t>
      </w:r>
      <w:r>
        <w:rPr>
          <w:rStyle w:val="italic"/>
        </w:rPr>
        <w:t>A</w:t>
      </w:r>
      <w:r>
        <w:t xml:space="preserve"> uses force against </w:t>
      </w:r>
      <w:r>
        <w:rPr>
          <w:rStyle w:val="italic"/>
        </w:rPr>
        <w:t>B</w:t>
      </w:r>
      <w:r>
        <w:t xml:space="preserve"> with </w:t>
      </w:r>
      <w:r>
        <w:rPr>
          <w:rStyle w:val="italic"/>
        </w:rPr>
        <w:t>B</w:t>
      </w:r>
      <w:r>
        <w:t xml:space="preserve">’s permission, </w:t>
      </w:r>
      <w:r>
        <w:rPr>
          <w:rStyle w:val="italic"/>
        </w:rPr>
        <w:t>A</w:t>
      </w:r>
      <w:r>
        <w:t xml:space="preserve"> is not an aggressor and thus may not be punished. </w:t>
      </w:r>
      <w:r>
        <w:rPr>
          <w:rStyle w:val="italic"/>
        </w:rPr>
        <w:t>A</w:t>
      </w:r>
      <w:r>
        <w:t xml:space="preserve"> may consistently assert that “using force against someone is permissible if they have consented” and that “using force against someone is impermissible if they have not consented.” For example, suppose that </w:t>
      </w:r>
      <w:r>
        <w:rPr>
          <w:rStyle w:val="italic"/>
        </w:rPr>
        <w:t>A</w:t>
      </w:r>
      <w:r>
        <w:t xml:space="preserve"> slaps </w:t>
      </w:r>
      <w:r>
        <w:rPr>
          <w:rStyle w:val="italic"/>
        </w:rPr>
        <w:t>B</w:t>
      </w:r>
      <w:r>
        <w:t xml:space="preserve"> after </w:t>
      </w:r>
      <w:r>
        <w:rPr>
          <w:rStyle w:val="italic"/>
        </w:rPr>
        <w:t>B</w:t>
      </w:r>
      <w:r>
        <w:t xml:space="preserve"> has given consent. Is </w:t>
      </w:r>
      <w:r>
        <w:rPr>
          <w:rStyle w:val="italic"/>
        </w:rPr>
        <w:t>A</w:t>
      </w:r>
      <w:r>
        <w:t xml:space="preserve"> estopped from objecting if </w:t>
      </w:r>
      <w:r>
        <w:rPr>
          <w:rStyle w:val="italic"/>
        </w:rPr>
        <w:t>B</w:t>
      </w:r>
      <w:r>
        <w:t xml:space="preserve"> attempts to slap him back? Obviously, </w:t>
      </w:r>
      <w:r>
        <w:rPr>
          <w:rStyle w:val="italic"/>
        </w:rPr>
        <w:t>A</w:t>
      </w:r>
      <w:r>
        <w:t xml:space="preserve"> is not estopped because he may consistently assert that “slapping someone is permissible if they have consented” and that “slapping someone is impermissible if they have not consented.” These are not inconsistent statements, and neither is barred by the universalizability principle because it rests on the recognition that the nature of a consented-to act is different than one objected to. Thus, although uninvited physical force estops the initiator thereof from complaining of punishment, invited or consented-to physical force does not.</w:t>
      </w:r>
    </w:p>
    <w:p w14:paraId="3B5F755B" w14:textId="77777777" w:rsidR="00B64282" w:rsidRDefault="00B64282" w:rsidP="00B64282">
      <w:pPr>
        <w:pStyle w:val="body"/>
      </w:pPr>
      <w:r>
        <w:t xml:space="preserve">Other actions do not involve force or aggression at all, so there is no ground for punishing this behavior either. Suppose publisher </w:t>
      </w:r>
      <w:r>
        <w:rPr>
          <w:rStyle w:val="italic"/>
        </w:rPr>
        <w:t>P</w:t>
      </w:r>
      <w:r>
        <w:t xml:space="preserve"> publishes a patently pornographic magazine, and some entity, such as the state, punishes him for this by conviction and imprisonment. Clearly, the state has committed naked aggression against him. Following the analysis of Part III.C, unless </w:t>
      </w:r>
      <w:r>
        <w:rPr>
          <w:rStyle w:val="italic"/>
        </w:rPr>
        <w:t>P</w:t>
      </w:r>
      <w:r>
        <w:t xml:space="preserve"> is estopped from complaining about the punishment, the state itself may be punished, demonstrating that it has violated his rights. </w:t>
      </w:r>
      <w:r>
        <w:rPr>
          <w:rStyle w:val="FootnoteInTextNumber"/>
        </w:rPr>
        <w:footnoteReference w:id="55"/>
      </w:r>
    </w:p>
    <w:p w14:paraId="5826034B" w14:textId="77777777" w:rsidR="00B64282" w:rsidRDefault="00B64282" w:rsidP="00B64282">
      <w:pPr>
        <w:pStyle w:val="body"/>
        <w:rPr>
          <w:spacing w:val="1"/>
        </w:rPr>
      </w:pPr>
      <w:r>
        <w:rPr>
          <w:rStyle w:val="italic"/>
          <w:spacing w:val="1"/>
        </w:rPr>
        <w:t>P</w:t>
      </w:r>
      <w:r>
        <w:rPr>
          <w:spacing w:val="1"/>
        </w:rPr>
        <w:t xml:space="preserve"> has only published pornography, which is not aggression; he has not engaged in any activity nor necessarily made any claim that would be inconsistent with claiming that aggression is wrong. Thus, it is not inconsistent to simultaneously maintain that (1) it is legitimate to publish pornography and (2) it is illegitimate to aggress against a person. </w:t>
      </w:r>
      <w:r>
        <w:rPr>
          <w:rStyle w:val="italic"/>
          <w:spacing w:val="1"/>
        </w:rPr>
        <w:t xml:space="preserve">P </w:t>
      </w:r>
      <w:r>
        <w:rPr>
          <w:spacing w:val="1"/>
        </w:rPr>
        <w:t>is not estopped from complaining about his confinement.</w:t>
      </w:r>
      <w:r>
        <w:rPr>
          <w:rStyle w:val="FootnoteInTextNumber"/>
          <w:spacing w:val="1"/>
        </w:rPr>
        <w:footnoteReference w:id="56"/>
      </w:r>
      <w:r>
        <w:rPr>
          <w:spacing w:val="1"/>
        </w:rPr>
        <w:t xml:space="preserve"> </w:t>
      </w:r>
    </w:p>
    <w:p w14:paraId="455928EA" w14:textId="77777777" w:rsidR="00B64282" w:rsidRDefault="00B64282" w:rsidP="00B64282">
      <w:pPr>
        <w:pStyle w:val="body"/>
        <w:rPr>
          <w:spacing w:val="-1"/>
        </w:rPr>
      </w:pPr>
      <w:r>
        <w:rPr>
          <w:spacing w:val="-1"/>
        </w:rPr>
        <w:t xml:space="preserve">Unlike the case of retaliation against aggression, however, the state has not administered force in response to </w:t>
      </w:r>
      <w:r>
        <w:rPr>
          <w:rStyle w:val="italic"/>
          <w:spacing w:val="-1"/>
        </w:rPr>
        <w:t>P</w:t>
      </w:r>
      <w:r>
        <w:rPr>
          <w:spacing w:val="-1"/>
        </w:rPr>
        <w:t xml:space="preserve">’s initiation of force and is estopped from objecting to the proposed use of force against it. The state’s punishment of </w:t>
      </w:r>
      <w:r>
        <w:rPr>
          <w:rStyle w:val="italic"/>
          <w:spacing w:val="-1"/>
        </w:rPr>
        <w:t>P</w:t>
      </w:r>
      <w:r>
        <w:rPr>
          <w:spacing w:val="-1"/>
        </w:rPr>
        <w:t xml:space="preserve"> is, therefore, not legitimate. Thus, </w:t>
      </w:r>
      <w:proofErr w:type="gramStart"/>
      <w:r>
        <w:rPr>
          <w:spacing w:val="-1"/>
        </w:rPr>
        <w:t>it can be seen that punishment</w:t>
      </w:r>
      <w:proofErr w:type="gramEnd"/>
      <w:r>
        <w:rPr>
          <w:spacing w:val="-1"/>
        </w:rPr>
        <w:t xml:space="preserve"> of any nonaggressive behavior is illegitimate and unjustified, as are laws prohibiting such behavior, since laws are themselves backed by and manifestations of force.</w:t>
      </w:r>
      <w:r>
        <w:rPr>
          <w:rStyle w:val="FootnoteInTextNumber"/>
          <w:spacing w:val="-1"/>
        </w:rPr>
        <w:footnoteReference w:id="57"/>
      </w:r>
    </w:p>
    <w:p w14:paraId="08837C97" w14:textId="77777777" w:rsidR="00B64282" w:rsidRDefault="00B64282" w:rsidP="00B64282">
      <w:pPr>
        <w:pStyle w:val="Subhead2"/>
      </w:pPr>
      <w:r>
        <w:lastRenderedPageBreak/>
        <w:t>F. Property Rights</w:t>
      </w:r>
    </w:p>
    <w:p w14:paraId="374F6FB1" w14:textId="77777777" w:rsidR="00B64282" w:rsidRDefault="00B64282" w:rsidP="00B64282">
      <w:pPr>
        <w:pStyle w:val="FirstParagraph"/>
      </w:pPr>
      <w:r>
        <w:t>So far, the right to punish actors who initiate invasions of victims’ bodies has been established, which corresponds to a right in one’s own body, or self-ownership. Although there is not space here to provide a detailed justification for rights in scarce resources outside one’s body—property rights—I will briefly outline such a justification in this section. Because rights in one’s own body have been established, property rights may be established by building on this base. This may be done by pointing out that rights in one’s body are meaningless without property rights and vice versa.</w:t>
      </w:r>
      <w:r>
        <w:rPr>
          <w:rStyle w:val="FootnoteInTextNumber"/>
        </w:rPr>
        <w:footnoteReference w:id="58"/>
      </w:r>
      <w:r>
        <w:t xml:space="preserve"> </w:t>
      </w:r>
    </w:p>
    <w:p w14:paraId="7D7CB409" w14:textId="77777777" w:rsidR="00B64282" w:rsidRDefault="00B64282" w:rsidP="00B64282">
      <w:pPr>
        <w:pStyle w:val="body"/>
        <w:rPr>
          <w:spacing w:val="1"/>
        </w:rPr>
      </w:pPr>
      <w:r>
        <w:rPr>
          <w:spacing w:val="1"/>
        </w:rPr>
        <w:t xml:space="preserve">For example, imagine that a thief admits that there are rights to self-ownership but that there is no right to property. If this is true, we can easily punish him simply by depriving him of external property, namely food, air, or space in which to exist or move. Clearly, the denial of his property </w:t>
      </w:r>
      <w:proofErr w:type="gramStart"/>
      <w:r>
        <w:rPr>
          <w:spacing w:val="1"/>
        </w:rPr>
        <w:t>through the use of</w:t>
      </w:r>
      <w:proofErr w:type="gramEnd"/>
      <w:r>
        <w:rPr>
          <w:spacing w:val="1"/>
        </w:rPr>
        <w:t xml:space="preserve"> force can physically harm his body just as direct invasion of the borders of his body can. The physical, bodily damage can be done </w:t>
      </w:r>
      <w:proofErr w:type="gramStart"/>
      <w:r>
        <w:rPr>
          <w:spacing w:val="1"/>
        </w:rPr>
        <w:t>fairly directly</w:t>
      </w:r>
      <w:proofErr w:type="gramEnd"/>
      <w:r>
        <w:rPr>
          <w:spacing w:val="1"/>
        </w:rPr>
        <w:t>, for example, by snatching every piece of food out of his hands until he dies—why not, if there are no property rights? Or it can be done somewhat more indirectly by infringing upon his ability to control and use the external world, which is essential to his survival. Such property deprivation could continue until his body is severely damaged—implying, since this is tantamount to physical retaliation in its effect on him, that physical retaliation in response to a property crime is permissible—or until he objected to such treatment, thereby granting the validity of property rights. Just as one can commit an act of aggression against another with one’s body—for example, one’s fist—or with external property—a club, gun, bomb, poison—so one’s self-ownership rights can be aggressed against in a limitless variety of ways by affecting one’s property and external environment.</w:t>
      </w:r>
    </w:p>
    <w:p w14:paraId="3413BC33" w14:textId="77777777" w:rsidR="00B64282" w:rsidRDefault="00B64282" w:rsidP="00B64282">
      <w:pPr>
        <w:pStyle w:val="body"/>
      </w:pPr>
      <w:r>
        <w:t>Professor Hoppe’s “argumentation ethics” defense of individual rights also shows that the right to homestead is implied in the right to self-ownership. First, Hoppe establishes self-ownership by focusing on propositions that cannot be denied in discourse in general.</w:t>
      </w:r>
      <w:r>
        <w:rPr>
          <w:rStyle w:val="FootnoteInTextNumber"/>
        </w:rPr>
        <w:footnoteReference w:id="59"/>
      </w:r>
      <w:r>
        <w:t xml:space="preserve"> Anyone engaging in argumentation implicitly accepts the presupposed right of self-ownership of all listeners and even potential listeners. Otherwise, the listener would not be able to consider freely and accept or reject the proposed argument.</w:t>
      </w:r>
    </w:p>
    <w:p w14:paraId="7427BED3" w14:textId="77777777" w:rsidR="00B64282" w:rsidRDefault="00B64282" w:rsidP="00B64282">
      <w:pPr>
        <w:pStyle w:val="body"/>
        <w:rPr>
          <w:spacing w:val="1"/>
        </w:rPr>
      </w:pPr>
      <w:r>
        <w:rPr>
          <w:spacing w:val="1"/>
        </w:rPr>
        <w:t xml:space="preserve">Second, because participants in argumentation indisputably need to use and control the scarce resources in the world to survive, and because their scarcity makes conflict over their use possible, norms are needed to determine the proper owner of these goods </w:t>
      </w:r>
      <w:proofErr w:type="gramStart"/>
      <w:r>
        <w:rPr>
          <w:spacing w:val="1"/>
        </w:rPr>
        <w:t>so as to</w:t>
      </w:r>
      <w:proofErr w:type="gramEnd"/>
      <w:r>
        <w:rPr>
          <w:spacing w:val="1"/>
        </w:rPr>
        <w:t xml:space="preserve"> avoid conflict. This necessity for norms to avoid conflicts in the use of scarce resources is itself undeniable by those engaged in argumentation—which is to say, undeniable—because anyone who is alive in the world and participating in the practical activity of argumentation cannot deny the value of being able to control </w:t>
      </w:r>
      <w:r>
        <w:rPr>
          <w:spacing w:val="1"/>
        </w:rPr>
        <w:lastRenderedPageBreak/>
        <w:t>scarce resources or the value of avoiding conflicts over such scarce resources. But there are only two fundamental alternatives for acquiring rights in unowned property: (1) by doing something with the property which no one else had ever done before, such as the mixing of labor or homesteading; or (2) by mere verbal declaration or decree. The second alternative is arbitrary and cannot serve to avoid conflicts. Only the first alternative, that of Lockean homesteading, establishes an objective link between a particular person and a particular scarce resource; thus, no one can deny the Lockean right to homestead unowned resources.</w:t>
      </w:r>
    </w:p>
    <w:p w14:paraId="33D09DBD" w14:textId="77777777" w:rsidR="00B64282" w:rsidRDefault="00B64282" w:rsidP="00B64282">
      <w:pPr>
        <w:pStyle w:val="body"/>
        <w:rPr>
          <w:spacing w:val="1"/>
        </w:rPr>
      </w:pPr>
      <w:r>
        <w:rPr>
          <w:spacing w:val="1"/>
        </w:rPr>
        <w:t xml:space="preserve">As Hoppe points out, since one’s body is itself a scarce resource, it is “the </w:t>
      </w:r>
      <w:r>
        <w:rPr>
          <w:rStyle w:val="italic"/>
          <w:spacing w:val="1"/>
        </w:rPr>
        <w:t>prototype</w:t>
      </w:r>
      <w:r>
        <w:rPr>
          <w:spacing w:val="1"/>
        </w:rPr>
        <w:t xml:space="preserve"> of a scarce good for the use of which property rights, i.e. rights of exclusive ownership, somehow have to be established, in order to avoid clashes.”</w:t>
      </w:r>
      <w:r>
        <w:rPr>
          <w:rStyle w:val="FootnoteInTextNumber"/>
          <w:spacing w:val="1"/>
        </w:rPr>
        <w:footnoteReference w:id="60"/>
      </w:r>
      <w:r>
        <w:rPr>
          <w:spacing w:val="1"/>
        </w:rPr>
        <w:t xml:space="preserve"> Thus, the right to homestead external scarce resources is implied in the fact of self-ownership since “the specifications of the nonaggression principle, conceived of as a special property norm referring to a specific kind of good, must in fact already contain those of a </w:t>
      </w:r>
      <w:r>
        <w:rPr>
          <w:rStyle w:val="italic"/>
          <w:spacing w:val="1"/>
        </w:rPr>
        <w:t>general</w:t>
      </w:r>
      <w:r>
        <w:rPr>
          <w:spacing w:val="1"/>
        </w:rPr>
        <w:t xml:space="preserve"> theory of property.”</w:t>
      </w:r>
      <w:r>
        <w:rPr>
          <w:rStyle w:val="FootnoteInTextNumber"/>
          <w:spacing w:val="1"/>
        </w:rPr>
        <w:footnoteReference w:id="61"/>
      </w:r>
      <w:r>
        <w:rPr>
          <w:spacing w:val="1"/>
        </w:rPr>
        <w:t xml:space="preserve"> For these reasons, whether self-ownership is established by Hoppe’s argumentation ethics or by the estoppel theory—both theories that focus on the dynamics of discourse—such rights imply the Lockean right to homestead, which no aggressor could deny any more than he could deny that self-ownership rights are justified.</w:t>
      </w:r>
    </w:p>
    <w:p w14:paraId="65402384" w14:textId="77777777" w:rsidR="00B64282" w:rsidRDefault="00B64282" w:rsidP="00B64282">
      <w:pPr>
        <w:pStyle w:val="body"/>
      </w:pPr>
      <w:r>
        <w:t>I will, for the remainder of this chapter, place property rights and rights in one’s body on the same level, both warranting punishment for their invasion. Thus, under the estoppel theory one who aggresses against another’s body or against another’s external property is an aggressor, plain and simple, who may be treated as such.</w:t>
      </w:r>
    </w:p>
    <w:p w14:paraId="689F6035" w14:textId="5F539360" w:rsidR="00B64282" w:rsidRDefault="00B64282" w:rsidP="00B64282">
      <w:pPr>
        <w:pStyle w:val="Subheads"/>
      </w:pPr>
      <w:r>
        <w:t>IV. TYPES OF PUNISHMENTS AND THE BURDEN OF PROOF</w:t>
      </w:r>
    </w:p>
    <w:p w14:paraId="453AC89D" w14:textId="77777777" w:rsidR="00B64282" w:rsidRDefault="00B64282" w:rsidP="00B64282">
      <w:pPr>
        <w:pStyle w:val="Subhead2"/>
      </w:pPr>
      <w:r>
        <w:t>A. Proportional Punishment</w:t>
      </w:r>
    </w:p>
    <w:p w14:paraId="7B2F166F" w14:textId="77777777" w:rsidR="00B64282" w:rsidRDefault="00B64282" w:rsidP="00B64282">
      <w:pPr>
        <w:pStyle w:val="FirstParagraph"/>
        <w:rPr>
          <w:spacing w:val="-1"/>
        </w:rPr>
      </w:pPr>
      <w:r>
        <w:rPr>
          <w:spacing w:val="-2"/>
        </w:rPr>
        <w:t>Just because aggressors can legitimately be punished does not necessarily</w:t>
      </w:r>
      <w:r>
        <w:rPr>
          <w:spacing w:val="-1"/>
        </w:rPr>
        <w:t xml:space="preserve"> mean that all concerns about proportionality may be dropped. At first blush, if we focus only on the initiation of force itself, it </w:t>
      </w:r>
      <w:proofErr w:type="gramStart"/>
      <w:r>
        <w:rPr>
          <w:spacing w:val="-1"/>
        </w:rPr>
        <w:t>would</w:t>
      </w:r>
      <w:proofErr w:type="gramEnd"/>
      <w:r>
        <w:rPr>
          <w:spacing w:val="-1"/>
        </w:rPr>
        <w:t xml:space="preserve"> seem that a victim could make a prima facie case that since the aggressor initiated force—no matter how trivial—the victim is entitled to use force against the aggressor, even including execution of the aggressor. Suppose </w:t>
      </w:r>
      <w:r>
        <w:rPr>
          <w:rStyle w:val="italic"/>
          <w:spacing w:val="-1"/>
        </w:rPr>
        <w:t>A</w:t>
      </w:r>
      <w:r>
        <w:rPr>
          <w:spacing w:val="-1"/>
        </w:rPr>
        <w:t xml:space="preserve"> uninvitedly slaps </w:t>
      </w:r>
      <w:r>
        <w:rPr>
          <w:rStyle w:val="italic"/>
          <w:spacing w:val="-1"/>
        </w:rPr>
        <w:t>B</w:t>
      </w:r>
      <w:r>
        <w:rPr>
          <w:spacing w:val="-1"/>
        </w:rPr>
        <w:t xml:space="preserve"> lightly on the cheek in response to a rude remark by </w:t>
      </w:r>
      <w:r>
        <w:rPr>
          <w:rStyle w:val="italic"/>
          <w:spacing w:val="-1"/>
        </w:rPr>
        <w:t>B</w:t>
      </w:r>
      <w:r>
        <w:rPr>
          <w:spacing w:val="-1"/>
        </w:rPr>
        <w:t xml:space="preserve">. Is </w:t>
      </w:r>
      <w:r>
        <w:rPr>
          <w:rStyle w:val="italic"/>
          <w:spacing w:val="-1"/>
        </w:rPr>
        <w:t>B</w:t>
      </w:r>
      <w:r>
        <w:rPr>
          <w:spacing w:val="-1"/>
        </w:rPr>
        <w:t xml:space="preserve"> entitled to execute </w:t>
      </w:r>
      <w:r>
        <w:rPr>
          <w:rStyle w:val="italic"/>
          <w:spacing w:val="-1"/>
        </w:rPr>
        <w:t>A</w:t>
      </w:r>
      <w:r>
        <w:rPr>
          <w:spacing w:val="-1"/>
        </w:rPr>
        <w:t xml:space="preserve"> in return? </w:t>
      </w:r>
      <w:r>
        <w:rPr>
          <w:rStyle w:val="italic"/>
          <w:spacing w:val="-1"/>
        </w:rPr>
        <w:t>A</w:t>
      </w:r>
      <w:r>
        <w:rPr>
          <w:spacing w:val="-1"/>
        </w:rPr>
        <w:t xml:space="preserve">, it is true, has initiated force, so how can he complain if force is to be used against him? But </w:t>
      </w:r>
      <w:r>
        <w:rPr>
          <w:rStyle w:val="italic"/>
          <w:spacing w:val="-1"/>
        </w:rPr>
        <w:t>A</w:t>
      </w:r>
      <w:r>
        <w:rPr>
          <w:spacing w:val="-1"/>
        </w:rPr>
        <w:t xml:space="preserve"> is not estopped from objecting to being killed. </w:t>
      </w:r>
      <w:r>
        <w:rPr>
          <w:rStyle w:val="italic"/>
          <w:spacing w:val="-1"/>
        </w:rPr>
        <w:t>A</w:t>
      </w:r>
      <w:r>
        <w:rPr>
          <w:spacing w:val="-1"/>
        </w:rPr>
        <w:t xml:space="preserve"> may, perfectly consistently, object to being killed since he may maintain that it is wrong to kill. This </w:t>
      </w:r>
      <w:proofErr w:type="gramStart"/>
      <w:r>
        <w:rPr>
          <w:spacing w:val="-1"/>
        </w:rPr>
        <w:t>in itself is</w:t>
      </w:r>
      <w:proofErr w:type="gramEnd"/>
      <w:r>
        <w:rPr>
          <w:spacing w:val="-1"/>
        </w:rPr>
        <w:t xml:space="preserve"> not inconsistent with </w:t>
      </w:r>
      <w:r>
        <w:rPr>
          <w:rStyle w:val="italic"/>
          <w:spacing w:val="-1"/>
        </w:rPr>
        <w:t>A</w:t>
      </w:r>
      <w:r>
        <w:rPr>
          <w:spacing w:val="-1"/>
        </w:rPr>
        <w:t xml:space="preserve">’s implicit view that it is legitimate to lightly slap others. By sanctioning slapping, </w:t>
      </w:r>
      <w:r>
        <w:rPr>
          <w:rStyle w:val="italic"/>
          <w:spacing w:val="-1"/>
        </w:rPr>
        <w:t>A</w:t>
      </w:r>
      <w:r>
        <w:rPr>
          <w:spacing w:val="-1"/>
        </w:rPr>
        <w:t xml:space="preserve"> does not necessarily claim that killing is proper because usually—as in this example—there is nothing about slapping that rises to the level of killing.</w:t>
      </w:r>
    </w:p>
    <w:p w14:paraId="587C93A3" w14:textId="77777777" w:rsidR="00B64282" w:rsidRDefault="00B64282" w:rsidP="00B64282">
      <w:pPr>
        <w:pStyle w:val="body"/>
        <w:rPr>
          <w:spacing w:val="-1"/>
        </w:rPr>
      </w:pPr>
      <w:r>
        <w:rPr>
          <w:spacing w:val="-1"/>
        </w:rPr>
        <w:t xml:space="preserve">It is proper to focus on the consequences of aggression in determining to what extent an aggressor is estopped because the very reason people object to aggression, or wish to punish aggressors for it, is </w:t>
      </w:r>
      <w:r>
        <w:rPr>
          <w:spacing w:val="-1"/>
        </w:rPr>
        <w:lastRenderedPageBreak/>
        <w:t>just because it has certain consequences.</w:t>
      </w:r>
      <w:r>
        <w:rPr>
          <w:rStyle w:val="FootnoteInTextNumber"/>
          <w:spacing w:val="-1"/>
        </w:rPr>
        <w:footnoteReference w:id="62"/>
      </w:r>
      <w:r>
        <w:rPr>
          <w:spacing w:val="-1"/>
        </w:rPr>
        <w:t xml:space="preserve"> Aggressive action, by physically interfering with the victim’s person, is undesirable because, among other reasons, it can (1) cause pain or injury; (2) interfere with the pursuit of goals in life; or (3) simply create a risky, dangerous situation in which pain, injury, or violence are more likely to result. Aggression interferes with one’s physical control over one’s life, that is, over one’s own body and external property.</w:t>
      </w:r>
    </w:p>
    <w:p w14:paraId="3E38C309" w14:textId="77777777" w:rsidR="00B64282" w:rsidRDefault="00B64282" w:rsidP="00B64282">
      <w:pPr>
        <w:pStyle w:val="body"/>
        <w:rPr>
          <w:spacing w:val="-2"/>
        </w:rPr>
      </w:pPr>
      <w:r>
        <w:rPr>
          <w:spacing w:val="-2"/>
        </w:rPr>
        <w:t xml:space="preserve">Killing someone obviously brings about the most undesirable level of these consequences. Merely slapping someone, by contrast, does not in normal circumstances. A slap has relatively insignificant consequences in all these respects. Thus, </w:t>
      </w:r>
      <w:r>
        <w:rPr>
          <w:rStyle w:val="italic"/>
          <w:spacing w:val="-2"/>
        </w:rPr>
        <w:t>A</w:t>
      </w:r>
      <w:r>
        <w:rPr>
          <w:spacing w:val="-2"/>
        </w:rPr>
        <w:t xml:space="preserve"> does not necessarily claim that aggressive killing is proper just because he slaps </w:t>
      </w:r>
      <w:r>
        <w:rPr>
          <w:rStyle w:val="italic"/>
          <w:spacing w:val="-2"/>
        </w:rPr>
        <w:t>B</w:t>
      </w:r>
      <w:r>
        <w:rPr>
          <w:spacing w:val="-2"/>
        </w:rPr>
        <w:t xml:space="preserve">. The universalization requirement does not prevent him from reasonably narrowing his implicit claim from the more severe “aggression is not wrong” to the less severe “minor aggression, such as slapping someone, is not wrong.” Thus, </w:t>
      </w:r>
      <w:r>
        <w:rPr>
          <w:rStyle w:val="italic"/>
          <w:spacing w:val="-2"/>
        </w:rPr>
        <w:t>B</w:t>
      </w:r>
      <w:r>
        <w:rPr>
          <w:spacing w:val="-2"/>
        </w:rPr>
        <w:t xml:space="preserve"> would be justified in slapping </w:t>
      </w:r>
      <w:r>
        <w:rPr>
          <w:rStyle w:val="italic"/>
          <w:spacing w:val="-2"/>
        </w:rPr>
        <w:t>A</w:t>
      </w:r>
      <w:r>
        <w:rPr>
          <w:spacing w:val="-2"/>
        </w:rPr>
        <w:t xml:space="preserve"> back but not in killing </w:t>
      </w:r>
      <w:r>
        <w:rPr>
          <w:rStyle w:val="italic"/>
          <w:spacing w:val="-2"/>
        </w:rPr>
        <w:t>A</w:t>
      </w:r>
      <w:r>
        <w:rPr>
          <w:spacing w:val="-2"/>
        </w:rPr>
        <w:t xml:space="preserve">. I do not mean that </w:t>
      </w:r>
      <w:r>
        <w:rPr>
          <w:rStyle w:val="italic"/>
          <w:spacing w:val="-2"/>
        </w:rPr>
        <w:t>B</w:t>
      </w:r>
      <w:r>
        <w:rPr>
          <w:spacing w:val="-2"/>
        </w:rPr>
        <w:t xml:space="preserve"> is justified </w:t>
      </w:r>
      <w:r>
        <w:rPr>
          <w:rStyle w:val="italic"/>
          <w:spacing w:val="-2"/>
        </w:rPr>
        <w:t>only</w:t>
      </w:r>
      <w:r>
        <w:rPr>
          <w:spacing w:val="-2"/>
        </w:rPr>
        <w:t xml:space="preserve"> in slapping </w:t>
      </w:r>
      <w:r>
        <w:rPr>
          <w:rStyle w:val="italic"/>
          <w:spacing w:val="-2"/>
        </w:rPr>
        <w:t>A</w:t>
      </w:r>
      <w:r>
        <w:rPr>
          <w:spacing w:val="-2"/>
        </w:rPr>
        <w:t xml:space="preserve"> and no more, but certainly </w:t>
      </w:r>
      <w:r>
        <w:rPr>
          <w:rStyle w:val="italic"/>
          <w:spacing w:val="-2"/>
        </w:rPr>
        <w:t>B</w:t>
      </w:r>
      <w:r>
        <w:rPr>
          <w:spacing w:val="-2"/>
        </w:rPr>
        <w:t xml:space="preserve"> is justified at least in slapping </w:t>
      </w:r>
      <w:r>
        <w:rPr>
          <w:rStyle w:val="italic"/>
          <w:spacing w:val="-2"/>
        </w:rPr>
        <w:t>A</w:t>
      </w:r>
      <w:r>
        <w:rPr>
          <w:spacing w:val="-2"/>
        </w:rPr>
        <w:t>, and is not justified in killing him; this would be murder. These outside boundaries, at least, we know.</w:t>
      </w:r>
    </w:p>
    <w:p w14:paraId="229EFC8C" w14:textId="77777777" w:rsidR="00B64282" w:rsidRDefault="00B64282" w:rsidP="00B64282">
      <w:pPr>
        <w:pStyle w:val="body"/>
      </w:pPr>
      <w:r>
        <w:t xml:space="preserve">In general, while the universalization principle prevents arbitrary particularization of claims—for example, adding “for me </w:t>
      </w:r>
      <w:proofErr w:type="spellStart"/>
      <w:r>
        <w:t>only’s</w:t>
      </w:r>
      <w:proofErr w:type="spellEnd"/>
      <w:r>
        <w:t xml:space="preserve">”—it does not rule out an objective, reasonable statement of the implicit claims of the aggressor tailored to the actual nature of the aggression and its necessary consequences and implications. For example, while it is true that </w:t>
      </w:r>
      <w:r>
        <w:rPr>
          <w:rStyle w:val="italic"/>
        </w:rPr>
        <w:t>A</w:t>
      </w:r>
      <w:r>
        <w:t xml:space="preserve"> has slapped </w:t>
      </w:r>
      <w:r>
        <w:rPr>
          <w:rStyle w:val="italic"/>
        </w:rPr>
        <w:t>B</w:t>
      </w:r>
      <w:r>
        <w:t xml:space="preserve">, he has not attempted to take </w:t>
      </w:r>
      <w:r>
        <w:rPr>
          <w:rStyle w:val="italic"/>
        </w:rPr>
        <w:t>B</w:t>
      </w:r>
      <w:r>
        <w:t>’s life; thus, he has never necessarily claimed that “murder is not wrong,” so he is not estopped from asserting that murder is wrong.</w:t>
      </w:r>
      <w:r>
        <w:rPr>
          <w:rStyle w:val="FootnoteInTextNumber"/>
        </w:rPr>
        <w:footnoteReference w:id="63"/>
      </w:r>
      <w:r>
        <w:t xml:space="preserve"> Since a mere slapper is not estopped from complaining about his imminent execution, he can consistently object to being executed, which implies that </w:t>
      </w:r>
      <w:r>
        <w:rPr>
          <w:rStyle w:val="italic"/>
        </w:rPr>
        <w:t>B</w:t>
      </w:r>
      <w:r>
        <w:t xml:space="preserve"> would become a murderer if he were to kill </w:t>
      </w:r>
      <w:r>
        <w:rPr>
          <w:rStyle w:val="italic"/>
        </w:rPr>
        <w:t>A</w:t>
      </w:r>
      <w:r>
        <w:t>.</w:t>
      </w:r>
    </w:p>
    <w:p w14:paraId="484B5D40" w14:textId="77777777" w:rsidR="00B64282" w:rsidRDefault="00B64282" w:rsidP="00B64282">
      <w:pPr>
        <w:pStyle w:val="body"/>
        <w:rPr>
          <w:spacing w:val="-1"/>
        </w:rPr>
      </w:pPr>
      <w:r>
        <w:rPr>
          <w:spacing w:val="-1"/>
        </w:rPr>
        <w:t xml:space="preserve">In this way, we can see a requirement of proportionality—or, more properly, of reciprocity along the lines of the </w:t>
      </w:r>
      <w:r>
        <w:rPr>
          <w:rStyle w:val="italic"/>
          <w:spacing w:val="-1"/>
        </w:rPr>
        <w:t>lex talionis</w:t>
      </w:r>
      <w:r>
        <w:rPr>
          <w:spacing w:val="-1"/>
        </w:rPr>
        <w:t xml:space="preserve"> or the law of retaliation</w:t>
      </w:r>
      <w:r>
        <w:rPr>
          <w:rStyle w:val="FootnoteInTextNumber"/>
          <w:spacing w:val="-1"/>
        </w:rPr>
        <w:footnoteReference w:id="64"/>
      </w:r>
      <w:r>
        <w:rPr>
          <w:spacing w:val="-1"/>
        </w:rPr>
        <w:t>—accompanies any legitimate punishment of an aggressor. “As the injury inflicted, so must be the injury suffered.”</w:t>
      </w:r>
      <w:r>
        <w:rPr>
          <w:rStyle w:val="FootnoteInTextNumber"/>
          <w:spacing w:val="-1"/>
        </w:rPr>
        <w:footnoteReference w:id="65"/>
      </w:r>
      <w:r>
        <w:rPr>
          <w:spacing w:val="-1"/>
        </w:rPr>
        <w:t xml:space="preserve"> There are, thus, limitations to the amount of punishment the victim may administer to the aggressor, related to the extent of the aggression committed by the aggressor, because it is the nature of the </w:t>
      </w:r>
      <w:proofErr w:type="gramStart"/>
      <w:r>
        <w:rPr>
          <w:spacing w:val="-1"/>
        </w:rPr>
        <w:t>particular act</w:t>
      </w:r>
      <w:proofErr w:type="gramEnd"/>
      <w:r>
        <w:rPr>
          <w:spacing w:val="-1"/>
        </w:rPr>
        <w:t xml:space="preserve"> of aggression that determines the extent of the estoppel working against the aggressor. The more serious the aggression and the consequences that flow from it, the more the aggressor is estopped from objecting to punishment. Consequently, a greater level of punishment may legitimately be applied.</w:t>
      </w:r>
    </w:p>
    <w:p w14:paraId="0E454AA7" w14:textId="77777777" w:rsidR="00B64282" w:rsidRDefault="00B64282" w:rsidP="00B64282">
      <w:pPr>
        <w:pStyle w:val="Subhead2"/>
      </w:pPr>
      <w:r>
        <w:lastRenderedPageBreak/>
        <w:t>B. The Victim’s Options</w:t>
      </w:r>
    </w:p>
    <w:p w14:paraId="134D9973" w14:textId="77777777" w:rsidR="00B64282" w:rsidRDefault="00B64282" w:rsidP="00B64282">
      <w:pPr>
        <w:pStyle w:val="FirstParagraph"/>
      </w:pPr>
      <w:r>
        <w:t>At this point, we have established the basic right to one’s body and to property homesteaded or acquired from a homesteader, as well as the contours of the basic requirement of proportionality in punishment. This chapter now presents a further consideration of the various types of punishment that can be justly administered.</w:t>
      </w:r>
    </w:p>
    <w:p w14:paraId="23048DC5" w14:textId="77777777" w:rsidR="00B64282" w:rsidRDefault="00B64282" w:rsidP="00B64282">
      <w:pPr>
        <w:pStyle w:val="body"/>
        <w:rPr>
          <w:spacing w:val="-2"/>
        </w:rPr>
      </w:pPr>
      <w:r>
        <w:rPr>
          <w:spacing w:val="-2"/>
        </w:rPr>
        <w:t>As has been shown, a victim of aggression may inflict on the aggressor at least the same level or type of aggression previously inflicted by the aggressor. In determining the maximum amount and type of punishment that may be applied, the distinction between victim and victimizer must be kept in mind, and we must recognize that, for most victims—those who are not masochists or sadists—punishing the wrongdoer does not genuinely make the victim whole and does not directly benefit the victim very much, if at all. A victim who has been shot in the arm by a robber and who consequently loses his arm is clearly entitled, if he wishes, to amputate the robber’s own arm. But this, of course, does not restore the victim’s arm; it does not make him whole. Perfect restitution is always an unreachable goal, for crimes cannot be undone.</w:t>
      </w:r>
    </w:p>
    <w:p w14:paraId="00BF92DD" w14:textId="77777777" w:rsidR="00B64282" w:rsidRDefault="00B64282" w:rsidP="00B64282">
      <w:pPr>
        <w:pStyle w:val="body"/>
        <w:rPr>
          <w:spacing w:val="-2"/>
        </w:rPr>
      </w:pPr>
      <w:r>
        <w:rPr>
          <w:spacing w:val="-2"/>
        </w:rPr>
        <w:t>This is not to say that the right to punish is therefore useless, but we must recognize that the victim remains a victim even after retaliating against the wrongdoer. No punishment can undo the harm done. For this reason, the victim’s range of punishment options should not be artificially or easily restricted. This would further victimize him. The victim did not choose to be made a victim and did not choose to be placed in a situation where he has only one narrow punishment option—namely, eye-for-an-eye retaliation. On the contrary, the responsibility for this situation is entirely that of the aggressor who by his action has damaged the victim. Because the aggressor has placed the victim in a no-win situation where being restricted to one narrow type of remedy may recompense the victim even less than other remedies, the aggressor is estopped from complaining if the victim chooses among varying types of punishment, subject to the proportionality requirement.</w:t>
      </w:r>
    </w:p>
    <w:p w14:paraId="5071E906" w14:textId="77777777" w:rsidR="00B64282" w:rsidRDefault="00B64282" w:rsidP="00B64282">
      <w:pPr>
        <w:pStyle w:val="body"/>
      </w:pPr>
      <w:r>
        <w:t xml:space="preserve">In practice this means that, for example, the victim of assault and battery need not be restricted to only having the aggressor beaten—or even killed. The victim may abhor </w:t>
      </w:r>
      <w:proofErr w:type="gramStart"/>
      <w:r>
        <w:t>violence, and</w:t>
      </w:r>
      <w:proofErr w:type="gramEnd"/>
      <w:r>
        <w:t xml:space="preserve"> might choose to forego any punishment at all if his only option was to either beat or punish the aggressor. The victim may prefer, instead, to simply be compensated </w:t>
      </w:r>
      <w:r>
        <w:rPr>
          <w:spacing w:val="-2"/>
        </w:rPr>
        <w:t>monetarily out of any—current or future—property of the wrongdoer.</w:t>
      </w:r>
      <w:r>
        <w:t xml:space="preserve"> Or, if the victim believes he will gain more satisfaction from using force against the aggressor in a way different than the </w:t>
      </w:r>
      <w:proofErr w:type="gramStart"/>
      <w:r>
        <w:t>manner in which</w:t>
      </w:r>
      <w:proofErr w:type="gramEnd"/>
      <w:r>
        <w:t xml:space="preserve"> the aggressor violated the victim’s rights—for example, taking property of an aggressor who has beaten the victim—the aggressor is estopped from complaining about this as long as proportionality is satisfied.</w:t>
      </w:r>
    </w:p>
    <w:p w14:paraId="3D05629F" w14:textId="77777777" w:rsidR="00B64282" w:rsidRDefault="00B64282" w:rsidP="00B64282">
      <w:pPr>
        <w:pStyle w:val="body"/>
      </w:pPr>
      <w:r>
        <w:t xml:space="preserve">The nonequivalence of most violent crimes makes this conclusion clearer. Suppose that </w:t>
      </w:r>
      <w:r>
        <w:rPr>
          <w:rStyle w:val="italic"/>
        </w:rPr>
        <w:t>A</w:t>
      </w:r>
      <w:r>
        <w:t xml:space="preserve">, a man, rapes </w:t>
      </w:r>
      <w:r>
        <w:rPr>
          <w:rStyle w:val="italic"/>
        </w:rPr>
        <w:t>B</w:t>
      </w:r>
      <w:r>
        <w:t xml:space="preserve">, a woman. </w:t>
      </w:r>
      <w:r>
        <w:rPr>
          <w:rStyle w:val="italic"/>
        </w:rPr>
        <w:t>B</w:t>
      </w:r>
      <w:r>
        <w:t xml:space="preserve"> would be entitled to rape </w:t>
      </w:r>
      <w:r>
        <w:rPr>
          <w:rStyle w:val="italic"/>
        </w:rPr>
        <w:t>A</w:t>
      </w:r>
      <w:r>
        <w:t xml:space="preserve"> in retaliation or to have </w:t>
      </w:r>
      <w:r>
        <w:rPr>
          <w:rStyle w:val="italic"/>
        </w:rPr>
        <w:t>A</w:t>
      </w:r>
      <w:r>
        <w:t xml:space="preserve"> raped by a professional, private punishing company. But the last thing in the world that a rape victim might want is to be involved in further sexual violence, and this alone would give her a right to insist on other forms of punishment. To limit her remedy to having </w:t>
      </w:r>
      <w:r>
        <w:rPr>
          <w:rStyle w:val="italic"/>
        </w:rPr>
        <w:t>A</w:t>
      </w:r>
      <w:r>
        <w:t xml:space="preserve"> raped would be to inflict further damage on her. </w:t>
      </w:r>
      <w:r>
        <w:rPr>
          <w:rStyle w:val="italic"/>
        </w:rPr>
        <w:t>B</w:t>
      </w:r>
      <w:r>
        <w:t xml:space="preserve"> can never be made whole, but at least her best remedy—in her opinion—of a variety of imperfect remedies need not </w:t>
      </w:r>
      <w:proofErr w:type="gramStart"/>
      <w:r>
        <w:t>be</w:t>
      </w:r>
      <w:proofErr w:type="gramEnd"/>
      <w:r>
        <w:t xml:space="preserve"> denied her. She has done nothing to justify denying her such options.</w:t>
      </w:r>
    </w:p>
    <w:p w14:paraId="12A55218" w14:textId="77777777" w:rsidR="00B64282" w:rsidRDefault="00B64282" w:rsidP="00B64282">
      <w:pPr>
        <w:pStyle w:val="body"/>
        <w:rPr>
          <w:spacing w:val="1"/>
        </w:rPr>
      </w:pPr>
      <w:r>
        <w:rPr>
          <w:spacing w:val="1"/>
        </w:rPr>
        <w:t xml:space="preserve">And in this case there simply is no equivalent. The only remotely similar equivalent is the forcible anal rape of </w:t>
      </w:r>
      <w:r>
        <w:rPr>
          <w:rStyle w:val="italic"/>
          <w:spacing w:val="1"/>
        </w:rPr>
        <w:t>A</w:t>
      </w:r>
      <w:r>
        <w:rPr>
          <w:spacing w:val="1"/>
        </w:rPr>
        <w:t xml:space="preserve">, but even this is vastly different from the rape of a woman. If nothing else, a woman might reasonably consider rape much more of a violation than would a man “similarly” treated, for these acts give rise to different consequences for the victim, a point that we need not belabor. Thus, if there is no possibility of exact “eye-for-an-eye” style retaliation for a given act of aggression, such as is the case with rape, then our conclusion must be either that (1) </w:t>
      </w:r>
      <w:r>
        <w:rPr>
          <w:rStyle w:val="italic"/>
          <w:spacing w:val="1"/>
        </w:rPr>
        <w:t>B</w:t>
      </w:r>
      <w:r>
        <w:rPr>
          <w:spacing w:val="1"/>
        </w:rPr>
        <w:t xml:space="preserve"> may not punish </w:t>
      </w:r>
      <w:r>
        <w:rPr>
          <w:rStyle w:val="italic"/>
          <w:spacing w:val="1"/>
        </w:rPr>
        <w:t>A</w:t>
      </w:r>
      <w:r>
        <w:rPr>
          <w:spacing w:val="1"/>
        </w:rPr>
        <w:t xml:space="preserve">, or (2) </w:t>
      </w:r>
      <w:r>
        <w:rPr>
          <w:rStyle w:val="italic"/>
          <w:spacing w:val="1"/>
        </w:rPr>
        <w:t>B</w:t>
      </w:r>
      <w:r>
        <w:rPr>
          <w:spacing w:val="1"/>
        </w:rPr>
        <w:t xml:space="preserve"> may </w:t>
      </w:r>
      <w:r>
        <w:rPr>
          <w:spacing w:val="1"/>
        </w:rPr>
        <w:lastRenderedPageBreak/>
        <w:t xml:space="preserve">punish </w:t>
      </w:r>
      <w:r>
        <w:rPr>
          <w:rStyle w:val="italic"/>
          <w:spacing w:val="1"/>
        </w:rPr>
        <w:t>A</w:t>
      </w:r>
      <w:r>
        <w:rPr>
          <w:spacing w:val="1"/>
        </w:rPr>
        <w:t xml:space="preserve"> in another manner. Clearly, the latter alternative is the correct one, for a rapist is estopped from denying the right of his victim to punish him and is also estopped from claiming a benefit because there is no equivalent punishment. Furthermore, the absence of an equivalent punishment is a direct result of </w:t>
      </w:r>
      <w:r>
        <w:rPr>
          <w:rStyle w:val="italic"/>
          <w:spacing w:val="1"/>
        </w:rPr>
        <w:t>A</w:t>
      </w:r>
      <w:r>
        <w:rPr>
          <w:spacing w:val="1"/>
        </w:rPr>
        <w:t xml:space="preserve">’s aggression. If </w:t>
      </w:r>
      <w:r>
        <w:rPr>
          <w:rStyle w:val="italic"/>
          <w:spacing w:val="1"/>
        </w:rPr>
        <w:t>B</w:t>
      </w:r>
      <w:r>
        <w:rPr>
          <w:spacing w:val="1"/>
        </w:rPr>
        <w:t xml:space="preserve"> acts to mitigate the damage done to her by </w:t>
      </w:r>
      <w:r>
        <w:rPr>
          <w:rStyle w:val="italic"/>
          <w:spacing w:val="1"/>
        </w:rPr>
        <w:t>A</w:t>
      </w:r>
      <w:r>
        <w:rPr>
          <w:spacing w:val="1"/>
        </w:rPr>
        <w:t xml:space="preserve">—which includes not only the </w:t>
      </w:r>
      <w:proofErr w:type="gramStart"/>
      <w:r>
        <w:rPr>
          <w:spacing w:val="1"/>
        </w:rPr>
        <w:t>rape, but</w:t>
      </w:r>
      <w:proofErr w:type="gramEnd"/>
      <w:r>
        <w:rPr>
          <w:spacing w:val="1"/>
        </w:rPr>
        <w:t xml:space="preserve"> placing </w:t>
      </w:r>
      <w:r>
        <w:rPr>
          <w:rStyle w:val="italic"/>
          <w:spacing w:val="1"/>
        </w:rPr>
        <w:t>B</w:t>
      </w:r>
      <w:r>
        <w:rPr>
          <w:spacing w:val="1"/>
        </w:rPr>
        <w:t xml:space="preserve"> in a situation where her remedies will all be inadequate and where there is not even an equivalent punishment possible—</w:t>
      </w:r>
      <w:r>
        <w:rPr>
          <w:rStyle w:val="italic"/>
          <w:spacing w:val="1"/>
        </w:rPr>
        <w:t>A</w:t>
      </w:r>
      <w:r>
        <w:rPr>
          <w:spacing w:val="1"/>
        </w:rPr>
        <w:t xml:space="preserve"> is estopped from objecting. Thus, for example, </w:t>
      </w:r>
      <w:r>
        <w:rPr>
          <w:rStyle w:val="italic"/>
          <w:spacing w:val="1"/>
        </w:rPr>
        <w:t>B</w:t>
      </w:r>
      <w:r>
        <w:rPr>
          <w:spacing w:val="1"/>
        </w:rPr>
        <w:t xml:space="preserve"> may choose, instead, to have </w:t>
      </w:r>
      <w:r>
        <w:rPr>
          <w:rStyle w:val="italic"/>
          <w:spacing w:val="1"/>
        </w:rPr>
        <w:t>A</w:t>
      </w:r>
      <w:r>
        <w:rPr>
          <w:spacing w:val="1"/>
        </w:rPr>
        <w:t xml:space="preserve">’s penis amputated or even his arm or leg. Or </w:t>
      </w:r>
      <w:r>
        <w:rPr>
          <w:rStyle w:val="italic"/>
          <w:spacing w:val="1"/>
        </w:rPr>
        <w:t>B</w:t>
      </w:r>
      <w:r>
        <w:rPr>
          <w:spacing w:val="1"/>
        </w:rPr>
        <w:t xml:space="preserve"> may choose instead to have </w:t>
      </w:r>
      <w:r>
        <w:rPr>
          <w:rStyle w:val="italic"/>
          <w:spacing w:val="1"/>
        </w:rPr>
        <w:t>A</w:t>
      </w:r>
      <w:r>
        <w:rPr>
          <w:spacing w:val="1"/>
        </w:rPr>
        <w:t xml:space="preserve"> publicly flogged, displayed, and imprisoned for some length of time or even enslaved for a time and put to work earning money for </w:t>
      </w:r>
      <w:r>
        <w:rPr>
          <w:rStyle w:val="italic"/>
          <w:spacing w:val="1"/>
        </w:rPr>
        <w:t>B</w:t>
      </w:r>
      <w:r>
        <w:rPr>
          <w:spacing w:val="1"/>
        </w:rPr>
        <w:t xml:space="preserve">. Alternatively, </w:t>
      </w:r>
      <w:r>
        <w:rPr>
          <w:rStyle w:val="italic"/>
          <w:spacing w:val="1"/>
        </w:rPr>
        <w:t>B</w:t>
      </w:r>
      <w:r>
        <w:rPr>
          <w:spacing w:val="1"/>
        </w:rPr>
        <w:t xml:space="preserve"> may threaten </w:t>
      </w:r>
      <w:r>
        <w:rPr>
          <w:rStyle w:val="italic"/>
          <w:spacing w:val="1"/>
        </w:rPr>
        <w:t>A</w:t>
      </w:r>
      <w:r>
        <w:rPr>
          <w:spacing w:val="1"/>
        </w:rPr>
        <w:t xml:space="preserve"> with the most severe punishment she has the right to inflict and allow </w:t>
      </w:r>
      <w:r>
        <w:rPr>
          <w:rStyle w:val="italic"/>
          <w:spacing w:val="1"/>
        </w:rPr>
        <w:t>A</w:t>
      </w:r>
      <w:r>
        <w:rPr>
          <w:spacing w:val="1"/>
        </w:rPr>
        <w:t xml:space="preserve"> to buy his way out of the punishment—or reduce its severity—with as much money as he is able or willing to offer.</w:t>
      </w:r>
      <w:r>
        <w:rPr>
          <w:rStyle w:val="FootnoteInTextNumber"/>
          <w:spacing w:val="1"/>
        </w:rPr>
        <w:footnoteReference w:id="66"/>
      </w:r>
      <w:r>
        <w:rPr>
          <w:spacing w:val="1"/>
        </w:rPr>
        <w:t xml:space="preserve"> </w:t>
      </w:r>
    </w:p>
    <w:p w14:paraId="6B4B1E82" w14:textId="77777777" w:rsidR="00B64282" w:rsidRDefault="00B64282" w:rsidP="00B64282">
      <w:pPr>
        <w:pStyle w:val="body"/>
      </w:pPr>
      <w:r>
        <w:t xml:space="preserve">Further, even if such rape of a man is somewhat equivalent to the rape of a woman, the rape of an </w:t>
      </w:r>
      <w:r>
        <w:rPr>
          <w:rStyle w:val="italic"/>
        </w:rPr>
        <w:t>innocent</w:t>
      </w:r>
      <w:r>
        <w:t xml:space="preserve"> person, </w:t>
      </w:r>
      <w:r>
        <w:rPr>
          <w:rStyle w:val="italic"/>
        </w:rPr>
        <w:t>B</w:t>
      </w:r>
      <w:r>
        <w:t xml:space="preserve">, is typically much more of an offense than is a similar violation of a criminal, </w:t>
      </w:r>
      <w:r>
        <w:rPr>
          <w:rStyle w:val="italic"/>
        </w:rPr>
        <w:t>A</w:t>
      </w:r>
      <w:r>
        <w:t xml:space="preserve">, who evidently does not abhor aggression as much. </w:t>
      </w:r>
      <w:r>
        <w:rPr>
          <w:rStyle w:val="italic"/>
        </w:rPr>
        <w:t>A</w:t>
      </w:r>
      <w:r>
        <w:t xml:space="preserve">, the rapist, may even be a masochist and enjoy being beaten or sodomized, so a </w:t>
      </w:r>
      <w:proofErr w:type="gramStart"/>
      <w:r>
        <w:t>more or less equal</w:t>
      </w:r>
      <w:proofErr w:type="gramEnd"/>
      <w:r>
        <w:t xml:space="preserve"> amount of physical punishment of </w:t>
      </w:r>
      <w:r>
        <w:rPr>
          <w:rStyle w:val="italic"/>
        </w:rPr>
        <w:t>A</w:t>
      </w:r>
      <w:r>
        <w:t xml:space="preserve"> would not really damage or truly punish </w:t>
      </w:r>
      <w:r>
        <w:rPr>
          <w:rStyle w:val="italic"/>
        </w:rPr>
        <w:t>A</w:t>
      </w:r>
      <w:r>
        <w:t xml:space="preserve"> as badly as </w:t>
      </w:r>
      <w:r>
        <w:rPr>
          <w:rStyle w:val="italic"/>
        </w:rPr>
        <w:t>A</w:t>
      </w:r>
      <w:r>
        <w:t xml:space="preserve"> has damaged </w:t>
      </w:r>
      <w:r>
        <w:rPr>
          <w:rStyle w:val="italic"/>
        </w:rPr>
        <w:t>B</w:t>
      </w:r>
      <w:r>
        <w:t xml:space="preserve">. Because </w:t>
      </w:r>
      <w:r>
        <w:rPr>
          <w:rStyle w:val="italic"/>
        </w:rPr>
        <w:t>A</w:t>
      </w:r>
      <w:r>
        <w:t xml:space="preserve"> is a criminal, he is also likely accustomed to a lifestyle where force is used more routinely so that “equal” punishment of </w:t>
      </w:r>
      <w:r>
        <w:rPr>
          <w:rStyle w:val="italic"/>
        </w:rPr>
        <w:t>A</w:t>
      </w:r>
      <w:r>
        <w:t xml:space="preserve"> would not damage </w:t>
      </w:r>
      <w:r>
        <w:rPr>
          <w:rStyle w:val="italic"/>
        </w:rPr>
        <w:t>A</w:t>
      </w:r>
      <w:r>
        <w:t xml:space="preserve"> to the extent it would damage </w:t>
      </w:r>
      <w:r>
        <w:rPr>
          <w:rStyle w:val="italic"/>
        </w:rPr>
        <w:t>B</w:t>
      </w:r>
      <w:r>
        <w:t xml:space="preserve">, who is unused to such violence. For these reasons, </w:t>
      </w:r>
      <w:r>
        <w:rPr>
          <w:rStyle w:val="italic"/>
        </w:rPr>
        <w:t>B</w:t>
      </w:r>
      <w:r>
        <w:t xml:space="preserve"> is entitled to inflict a greater amount of punishment on </w:t>
      </w:r>
      <w:r>
        <w:rPr>
          <w:rStyle w:val="italic"/>
        </w:rPr>
        <w:t>A</w:t>
      </w:r>
      <w:r>
        <w:t xml:space="preserve"> than </w:t>
      </w:r>
      <w:r>
        <w:rPr>
          <w:rStyle w:val="italic"/>
        </w:rPr>
        <w:t>A</w:t>
      </w:r>
      <w:r>
        <w:t xml:space="preserve"> inflicted on </w:t>
      </w:r>
      <w:r>
        <w:rPr>
          <w:rStyle w:val="italic"/>
        </w:rPr>
        <w:t>B</w:t>
      </w:r>
      <w:r>
        <w:t>, if only to more or less equalize the actual level of damage inflicted.</w:t>
      </w:r>
      <w:r>
        <w:rPr>
          <w:rStyle w:val="FootnoteInTextNumber"/>
        </w:rPr>
        <w:footnoteReference w:id="67"/>
      </w:r>
      <w:r>
        <w:t xml:space="preserve"> Thus, if </w:t>
      </w:r>
      <w:r>
        <w:rPr>
          <w:rStyle w:val="italic"/>
        </w:rPr>
        <w:t>A</w:t>
      </w:r>
      <w:r>
        <w:t xml:space="preserve"> permanently damages </w:t>
      </w:r>
      <w:r>
        <w:rPr>
          <w:rStyle w:val="italic"/>
        </w:rPr>
        <w:t>B</w:t>
      </w:r>
      <w:r>
        <w:t xml:space="preserve">’s arm, </w:t>
      </w:r>
      <w:r>
        <w:rPr>
          <w:rStyle w:val="italic"/>
        </w:rPr>
        <w:t>B</w:t>
      </w:r>
      <w:r>
        <w:t xml:space="preserve"> may be entitled to damage both of </w:t>
      </w:r>
      <w:r>
        <w:rPr>
          <w:rStyle w:val="italic"/>
        </w:rPr>
        <w:t>A</w:t>
      </w:r>
      <w:r>
        <w:t xml:space="preserve">’s arms </w:t>
      </w:r>
      <w:proofErr w:type="gramStart"/>
      <w:r>
        <w:t>or</w:t>
      </w:r>
      <w:proofErr w:type="gramEnd"/>
      <w:r>
        <w:t xml:space="preserve"> even all of </w:t>
      </w:r>
      <w:r>
        <w:rPr>
          <w:rStyle w:val="italic"/>
        </w:rPr>
        <w:t>A</w:t>
      </w:r>
      <w:r>
        <w:t>’s limbs.</w:t>
      </w:r>
      <w:r>
        <w:rPr>
          <w:rStyle w:val="FootnoteInTextNumber"/>
        </w:rPr>
        <w:footnoteReference w:id="68"/>
      </w:r>
      <w:r>
        <w:t xml:space="preserve"> </w:t>
      </w:r>
    </w:p>
    <w:p w14:paraId="3BDE5F7B" w14:textId="77777777" w:rsidR="00B64282" w:rsidRDefault="00B64282" w:rsidP="00B64282">
      <w:pPr>
        <w:pStyle w:val="body"/>
      </w:pPr>
      <w:r>
        <w:t xml:space="preserve">Alternatively, a victim is entitled to take by force a certain amount or portion of the aggressor’s property if this type of response to aggression would better satisfy the victim or if the victim prefers this remedy for any reason at all, including greed, malice, or sadism—the victim’s motivation is not the aggressor’s rightful concern. Of course, a mixture would be permissible as well. A woman might, in </w:t>
      </w:r>
      <w:r>
        <w:lastRenderedPageBreak/>
        <w:t xml:space="preserve">response to being raped by a man, seize </w:t>
      </w:r>
      <w:proofErr w:type="gramStart"/>
      <w:r>
        <w:t>all of</w:t>
      </w:r>
      <w:proofErr w:type="gramEnd"/>
      <w:r>
        <w:t xml:space="preserve"> the ravisher’s $10,000 estate and have him publicly beaten and enslaved for some number of years until his forced labor earns her $100,000 more—assuming that this overall level of punishment is roughly equivalent to the rape.</w:t>
      </w:r>
    </w:p>
    <w:p w14:paraId="5D01CE12" w14:textId="77777777" w:rsidR="00B64282" w:rsidRDefault="00B64282" w:rsidP="00B64282">
      <w:pPr>
        <w:pStyle w:val="body"/>
      </w:pPr>
      <w:r>
        <w:t xml:space="preserve">Along the same lines, a property aggressor, such as a thief, may be dealt with any number of ways. The victim may satisfy himself solely out of the aggressor’s property, if this is possible, or through corporal punishment of the aggressor, if this better satisfies the victim—as discussed in further detail below. In short, any rights or combinations of rights of an aggressor may be ignored by a victim in punishing the aggressor—implying that the aggressor </w:t>
      </w:r>
      <w:proofErr w:type="gramStart"/>
      <w:r>
        <w:t>actually does</w:t>
      </w:r>
      <w:proofErr w:type="gramEnd"/>
      <w:r>
        <w:t xml:space="preserve"> not have these purported “rights”—as long as general bounds of proportionality are considered.</w:t>
      </w:r>
    </w:p>
    <w:p w14:paraId="294B60F5" w14:textId="77777777" w:rsidR="00B64282" w:rsidRDefault="00B64282" w:rsidP="00B64282">
      <w:pPr>
        <w:pStyle w:val="Subhead2"/>
      </w:pPr>
      <w:r>
        <w:t>C. Enhancing Punishment Due to Other Factors</w:t>
      </w:r>
    </w:p>
    <w:p w14:paraId="4BD3575E" w14:textId="77777777" w:rsidR="00B64282" w:rsidRDefault="00B64282" w:rsidP="00B64282">
      <w:pPr>
        <w:pStyle w:val="FirstParagraph"/>
        <w:rPr>
          <w:spacing w:val="-1"/>
        </w:rPr>
      </w:pPr>
      <w:r>
        <w:rPr>
          <w:spacing w:val="-1"/>
        </w:rPr>
        <w:t xml:space="preserve">Other factors may be considered that increase the amount of punishment that may be inflicted on the aggressor over and above the type of damage initially inflicted by the aggressor. As explained above </w:t>
      </w:r>
      <w:proofErr w:type="gramStart"/>
      <w:r>
        <w:rPr>
          <w:spacing w:val="-1"/>
        </w:rPr>
        <w:t>with regard to</w:t>
      </w:r>
      <w:proofErr w:type="gramEnd"/>
      <w:r>
        <w:rPr>
          <w:spacing w:val="-1"/>
        </w:rPr>
        <w:t xml:space="preserve"> rape, aggression against an innocent, peaceful person may cause more psychic damage to the victim than would an equivalent action against the aggressor. Also, as Rothbard explains, a criminal, such as thief </w:t>
      </w:r>
      <w:r>
        <w:rPr>
          <w:rStyle w:val="italic"/>
          <w:spacing w:val="-1"/>
        </w:rPr>
        <w:t>A</w:t>
      </w:r>
      <w:r>
        <w:rPr>
          <w:spacing w:val="-1"/>
        </w:rPr>
        <w:t xml:space="preserve">, has not only stolen something from victim </w:t>
      </w:r>
      <w:r>
        <w:rPr>
          <w:rStyle w:val="italic"/>
          <w:spacing w:val="-1"/>
        </w:rPr>
        <w:t>B</w:t>
      </w:r>
      <w:r>
        <w:rPr>
          <w:spacing w:val="-1"/>
        </w:rPr>
        <w:t xml:space="preserve">, but he has “also put </w:t>
      </w:r>
      <w:r>
        <w:rPr>
          <w:rStyle w:val="italic"/>
          <w:spacing w:val="-1"/>
        </w:rPr>
        <w:t>B</w:t>
      </w:r>
      <w:r>
        <w:rPr>
          <w:spacing w:val="-1"/>
        </w:rPr>
        <w:t xml:space="preserve"> into a state of fear and uncertainty, of uncertainty as to the extent that </w:t>
      </w:r>
      <w:r>
        <w:rPr>
          <w:rStyle w:val="italic"/>
          <w:spacing w:val="-1"/>
        </w:rPr>
        <w:t>B</w:t>
      </w:r>
      <w:r>
        <w:rPr>
          <w:spacing w:val="-1"/>
        </w:rPr>
        <w:t xml:space="preserve">’s deprivation would go. But the penalty levied on </w:t>
      </w:r>
      <w:r>
        <w:rPr>
          <w:rStyle w:val="italic"/>
          <w:spacing w:val="-1"/>
        </w:rPr>
        <w:t>A</w:t>
      </w:r>
      <w:r>
        <w:rPr>
          <w:spacing w:val="-1"/>
        </w:rPr>
        <w:t xml:space="preserve"> is fixed and certain in advance, thus putting </w:t>
      </w:r>
      <w:r>
        <w:rPr>
          <w:rStyle w:val="italic"/>
          <w:spacing w:val="-1"/>
        </w:rPr>
        <w:t>A</w:t>
      </w:r>
      <w:r>
        <w:rPr>
          <w:spacing w:val="-1"/>
        </w:rPr>
        <w:t xml:space="preserve"> in far better shape than was his original victim.”</w:t>
      </w:r>
      <w:r>
        <w:rPr>
          <w:rStyle w:val="FootnoteInTextNumber"/>
          <w:spacing w:val="-1"/>
        </w:rPr>
        <w:footnoteReference w:id="69"/>
      </w:r>
      <w:r>
        <w:rPr>
          <w:spacing w:val="-1"/>
        </w:rPr>
        <w:t xml:space="preserve"> The criminal has also imposed other damages, such as interest, and even general costs of crime prevention—for who can such costs be blamed on and recouped from if not criminals when they are caught? As Kant observed, “whoever steals anything makes the property of all insecure.”</w:t>
      </w:r>
      <w:r>
        <w:rPr>
          <w:rStyle w:val="FootnoteInTextNumber"/>
          <w:spacing w:val="-1"/>
        </w:rPr>
        <w:footnoteReference w:id="70"/>
      </w:r>
      <w:r>
        <w:rPr>
          <w:spacing w:val="-1"/>
        </w:rPr>
        <w:t xml:space="preserve"> </w:t>
      </w:r>
    </w:p>
    <w:p w14:paraId="05CB8C1E" w14:textId="3AF4944E" w:rsidR="00B64282" w:rsidRDefault="00B64282" w:rsidP="00B64282">
      <w:pPr>
        <w:pStyle w:val="body"/>
      </w:pPr>
      <w:r>
        <w:t xml:space="preserve">General bounds of proportionality are also satisfied when the consequences and potential consequences to the victim that are caused by the aggression are </w:t>
      </w:r>
      <w:proofErr w:type="gramStart"/>
      <w:r>
        <w:t>taken into account</w:t>
      </w:r>
      <w:proofErr w:type="gramEnd"/>
      <w:r>
        <w:t>. Thus, some crimes may be punished capitally if their consequences are serious enough—for example, stealing a man’s horse when his survival depends on it, which was capitally punished in the frontier West for the same reason.</w:t>
      </w:r>
      <w:r>
        <w:rPr>
          <w:rStyle w:val="FootnoteInTextNumber"/>
        </w:rPr>
        <w:footnoteReference w:id="71"/>
      </w:r>
      <w:r>
        <w:t xml:space="preserve"> (This is one point on which I disagree with Rothbard, however, who argues that “it should be quite clear that, under libertarian law, capital punishment would have to be confined strictly to the crime of murder. For a criminal would only lose his right to life if he had first deprived some victim of that same right. It would not be permissible, then, for a merchant whose bubble-gum had been stolen, </w:t>
      </w:r>
      <w:r>
        <w:lastRenderedPageBreak/>
        <w:t>to execute the convicted bubble-gum thief.”</w:t>
      </w:r>
      <w:r>
        <w:rPr>
          <w:rStyle w:val="FootnoteInTextNumber"/>
        </w:rPr>
        <w:footnoteReference w:id="72"/>
      </w:r>
      <w:r>
        <w:t xml:space="preserve"> For one could imagine rare situations where theft of bubble-gum could legitimately be punished by execution, if the theft somehow endangered the life of its owner.</w:t>
      </w:r>
      <w:r>
        <w:rPr>
          <w:rStyle w:val="FootnoteInTextNumber"/>
        </w:rPr>
        <w:footnoteReference w:id="73"/>
      </w:r>
      <w:r>
        <w:t>)</w:t>
      </w:r>
    </w:p>
    <w:p w14:paraId="6CCAFBA4" w14:textId="77777777" w:rsidR="00B64282" w:rsidRDefault="00B64282" w:rsidP="00B64282">
      <w:pPr>
        <w:pStyle w:val="Subhead2"/>
      </w:pPr>
      <w:r>
        <w:t>D. Graduated Scale of Punishment</w:t>
      </w:r>
    </w:p>
    <w:p w14:paraId="4224AAE1" w14:textId="77777777" w:rsidR="00B64282" w:rsidRDefault="00B64282" w:rsidP="00B64282">
      <w:pPr>
        <w:pStyle w:val="FirstParagraph"/>
        <w:rPr>
          <w:spacing w:val="1"/>
        </w:rPr>
      </w:pPr>
      <w:r>
        <w:rPr>
          <w:spacing w:val="1"/>
        </w:rPr>
        <w:t>Some would object to the use of the severe penalty of capital punishment for crimes other than the most serious or heinous, such as murder, mass-murder, or genocide. Many thus favor a scale of punishment having more severe punishments for the most serious crimes with capital punishment reserved for murderers or serial-killers and the like.</w:t>
      </w:r>
      <w:r>
        <w:rPr>
          <w:rStyle w:val="FootnoteInTextNumber"/>
          <w:spacing w:val="1"/>
        </w:rPr>
        <w:footnoteReference w:id="74"/>
      </w:r>
      <w:r>
        <w:rPr>
          <w:spacing w:val="1"/>
        </w:rPr>
        <w:t xml:space="preserve"> Perhaps some feel that a mass murderer, serial killer, child killer, or cop killer should be punished more harshly than a more typical murderer of one adult and that if capital punishment is “wasted” on more mundane murderers or criminals, there will be nothing more severe left to impose on the really bad guys; there will be no deterrent effect left to deter extra acts of aggression committed by those who have already placed themselves in the category of deserving the death penalty. Of course, even if such a scale with gradations of punishment would provide a “better” deterrent effect, this does not mean that one does not have the right to punish a given criminal in a certain way. Such utilitarian reasoning is beside the point. If we had to save the more severe punishments for, say, mass murderers, this in effect incorrectly attributes a right to life to other murderers who simply do not have such a right.</w:t>
      </w:r>
    </w:p>
    <w:p w14:paraId="13BC4D96" w14:textId="77777777" w:rsidR="00B64282" w:rsidRDefault="00B64282" w:rsidP="00B64282">
      <w:pPr>
        <w:pStyle w:val="body"/>
        <w:rPr>
          <w:spacing w:val="-2"/>
        </w:rPr>
      </w:pPr>
      <w:r>
        <w:rPr>
          <w:spacing w:val="-2"/>
        </w:rPr>
        <w:t xml:space="preserve">Also, it should be realized that punishment of murderers is always an imperfect remedy since the victim remains murdered, so that whether the murderer remains </w:t>
      </w:r>
      <w:proofErr w:type="spellStart"/>
      <w:r>
        <w:rPr>
          <w:spacing w:val="-2"/>
        </w:rPr>
        <w:t>underpunished</w:t>
      </w:r>
      <w:proofErr w:type="spellEnd"/>
      <w:r>
        <w:rPr>
          <w:spacing w:val="-2"/>
        </w:rPr>
        <w:t xml:space="preserve"> even after being executed—like a regular murderer—or </w:t>
      </w:r>
      <w:r>
        <w:rPr>
          <w:rStyle w:val="italic"/>
          <w:spacing w:val="-2"/>
        </w:rPr>
        <w:t>very</w:t>
      </w:r>
      <w:r>
        <w:rPr>
          <w:spacing w:val="-2"/>
        </w:rPr>
        <w:t xml:space="preserve"> </w:t>
      </w:r>
      <w:proofErr w:type="spellStart"/>
      <w:r>
        <w:rPr>
          <w:spacing w:val="-2"/>
        </w:rPr>
        <w:t>underpunished</w:t>
      </w:r>
      <w:proofErr w:type="spellEnd"/>
      <w:r>
        <w:rPr>
          <w:spacing w:val="-2"/>
        </w:rPr>
        <w:t xml:space="preserve">—like a mass murderer—this is an unfortunate but simply irrelevant and inescapable fact. Furthermore, punishment </w:t>
      </w:r>
      <w:proofErr w:type="gramStart"/>
      <w:r>
        <w:rPr>
          <w:spacing w:val="-2"/>
        </w:rPr>
        <w:t xml:space="preserve">actually </w:t>
      </w:r>
      <w:r>
        <w:rPr>
          <w:rStyle w:val="italic"/>
          <w:spacing w:val="-2"/>
        </w:rPr>
        <w:t>can</w:t>
      </w:r>
      <w:proofErr w:type="gramEnd"/>
      <w:r>
        <w:rPr>
          <w:spacing w:val="-2"/>
        </w:rPr>
        <w:t xml:space="preserve"> be made more and more severe, practically without limit, for greater and greater crimes. Death after torture is worse punishment than mere death, and a longer period or greater amount of physical pain being inflicted is more severe punishment than a shorter period or lesser amount. The severity of punishment can be varied, then, by varying the length of imprisonment, by inflicting </w:t>
      </w:r>
      <w:proofErr w:type="gramStart"/>
      <w:r>
        <w:rPr>
          <w:spacing w:val="-2"/>
        </w:rPr>
        <w:t>more or less physical</w:t>
      </w:r>
      <w:proofErr w:type="gramEnd"/>
      <w:r>
        <w:rPr>
          <w:spacing w:val="-2"/>
        </w:rPr>
        <w:t xml:space="preserve"> pain, and by many other methods. For example, for prison inmates, the severity of punishment can be adjusted by varying the size of the prison cell, temperature, and quality of food.</w:t>
      </w:r>
      <w:r>
        <w:rPr>
          <w:rStyle w:val="FootnoteInTextNumber"/>
          <w:spacing w:val="-2"/>
        </w:rPr>
        <w:footnoteReference w:id="75"/>
      </w:r>
      <w:r>
        <w:rPr>
          <w:spacing w:val="-2"/>
        </w:rPr>
        <w:t xml:space="preserve"> </w:t>
      </w:r>
    </w:p>
    <w:p w14:paraId="39F930C9" w14:textId="77777777" w:rsidR="00B64282" w:rsidRDefault="00B64282" w:rsidP="00B64282">
      <w:pPr>
        <w:pStyle w:val="Subhead2"/>
      </w:pPr>
      <w:r>
        <w:t>E. Property Crimes</w:t>
      </w:r>
    </w:p>
    <w:p w14:paraId="27D158D3" w14:textId="77777777" w:rsidR="00B64282" w:rsidRDefault="00B64282" w:rsidP="00B64282">
      <w:pPr>
        <w:pStyle w:val="FirstParagraph"/>
      </w:pPr>
      <w:r>
        <w:t xml:space="preserve">Aggression can also take the form of a property crime. For example, where </w:t>
      </w:r>
      <w:r>
        <w:rPr>
          <w:rStyle w:val="italic"/>
        </w:rPr>
        <w:t>A</w:t>
      </w:r>
      <w:r>
        <w:t xml:space="preserve"> has stolen $10,000 from </w:t>
      </w:r>
      <w:r>
        <w:rPr>
          <w:rStyle w:val="italic"/>
        </w:rPr>
        <w:t>B</w:t>
      </w:r>
      <w:r>
        <w:t xml:space="preserve">, </w:t>
      </w:r>
      <w:r>
        <w:rPr>
          <w:rStyle w:val="italic"/>
        </w:rPr>
        <w:t>B</w:t>
      </w:r>
      <w:r>
        <w:t xml:space="preserve"> is entitled to recoup $10,000 of </w:t>
      </w:r>
      <w:r>
        <w:rPr>
          <w:rStyle w:val="italic"/>
        </w:rPr>
        <w:t>A</w:t>
      </w:r>
      <w:r>
        <w:t xml:space="preserve">’s property. However, the recapture of $10,000 is not punishment of </w:t>
      </w:r>
      <w:r>
        <w:rPr>
          <w:rStyle w:val="italic"/>
        </w:rPr>
        <w:t>A</w:t>
      </w:r>
      <w:r>
        <w:t xml:space="preserve"> but merely the recapture by </w:t>
      </w:r>
      <w:r>
        <w:rPr>
          <w:rStyle w:val="italic"/>
        </w:rPr>
        <w:t>B</w:t>
      </w:r>
      <w:r>
        <w:t xml:space="preserve"> of his own property. </w:t>
      </w:r>
      <w:r>
        <w:rPr>
          <w:rStyle w:val="italic"/>
        </w:rPr>
        <w:t>B</w:t>
      </w:r>
      <w:r>
        <w:t xml:space="preserve"> then has the right to take another $10,000 </w:t>
      </w:r>
      <w:r>
        <w:lastRenderedPageBreak/>
        <w:t xml:space="preserve">of </w:t>
      </w:r>
      <w:r>
        <w:rPr>
          <w:rStyle w:val="italic"/>
        </w:rPr>
        <w:t>A</w:t>
      </w:r>
      <w:r>
        <w:t xml:space="preserve">’s property, or even a higher amount if the $10,000 stolen from </w:t>
      </w:r>
      <w:r>
        <w:rPr>
          <w:rStyle w:val="italic"/>
        </w:rPr>
        <w:t>B</w:t>
      </w:r>
      <w:r>
        <w:t xml:space="preserve"> was worth much more to </w:t>
      </w:r>
      <w:r>
        <w:rPr>
          <w:rStyle w:val="italic"/>
        </w:rPr>
        <w:t>B</w:t>
      </w:r>
      <w:r>
        <w:t xml:space="preserve"> than to </w:t>
      </w:r>
      <w:r>
        <w:rPr>
          <w:rStyle w:val="italic"/>
        </w:rPr>
        <w:t>A</w:t>
      </w:r>
      <w:r>
        <w:t xml:space="preserve">—for example, if </w:t>
      </w:r>
      <w:r>
        <w:rPr>
          <w:rStyle w:val="italic"/>
        </w:rPr>
        <w:t>A</w:t>
      </w:r>
      <w:r>
        <w:t xml:space="preserve"> has a higher time preference or less significant plans to use the money than </w:t>
      </w:r>
      <w:r>
        <w:rPr>
          <w:rStyle w:val="italic"/>
        </w:rPr>
        <w:t>B</w:t>
      </w:r>
      <w:r>
        <w:t xml:space="preserve">, which is likely, or if </w:t>
      </w:r>
      <w:r>
        <w:rPr>
          <w:rStyle w:val="italic"/>
        </w:rPr>
        <w:t>A</w:t>
      </w:r>
      <w:r>
        <w:t xml:space="preserve"> has more money than </w:t>
      </w:r>
      <w:r>
        <w:rPr>
          <w:rStyle w:val="italic"/>
        </w:rPr>
        <w:t>B</w:t>
      </w:r>
      <w:r>
        <w:t>, which is unlikely.</w:t>
      </w:r>
      <w:r>
        <w:rPr>
          <w:rStyle w:val="FootnoteInTextNumber"/>
        </w:rPr>
        <w:footnoteReference w:id="76"/>
      </w:r>
      <w:r>
        <w:t xml:space="preserve"> This amount may also be enhanced to take into account other damages, such as interest, general costs of crime prevention, and compensation for putting the victim into a state of fear and uncertainty.</w:t>
      </w:r>
      <w:r>
        <w:rPr>
          <w:rStyle w:val="FootnoteInTextNumber"/>
        </w:rPr>
        <w:footnoteReference w:id="77"/>
      </w:r>
      <w:r>
        <w:t xml:space="preserve"> It may also be enhanced to account for the uncertainty as to what the exact amount of retaliation or restitution ought to be, as this uncertainty is </w:t>
      </w:r>
      <w:r>
        <w:rPr>
          <w:rStyle w:val="italic"/>
        </w:rPr>
        <w:t>A</w:t>
      </w:r>
      <w:r>
        <w:t xml:space="preserve">’s fault, not </w:t>
      </w:r>
      <w:r>
        <w:rPr>
          <w:rStyle w:val="italic"/>
        </w:rPr>
        <w:t>B</w:t>
      </w:r>
      <w:r>
        <w:t xml:space="preserve">’s. Alternatively, at the victim’s option, corporal punishment may be administered by </w:t>
      </w:r>
      <w:r>
        <w:rPr>
          <w:rStyle w:val="italic"/>
        </w:rPr>
        <w:t>B</w:t>
      </w:r>
      <w:r>
        <w:t xml:space="preserve"> </w:t>
      </w:r>
      <w:r>
        <w:rPr>
          <w:rStyle w:val="italic"/>
        </w:rPr>
        <w:t>instead</w:t>
      </w:r>
      <w:r>
        <w:t xml:space="preserve"> of taking back his own $10,000—indeed, this may be the only option where the thief is </w:t>
      </w:r>
      <w:proofErr w:type="gramStart"/>
      <w:r>
        <w:t>penniless</w:t>
      </w:r>
      <w:proofErr w:type="gramEnd"/>
      <w:r>
        <w:t xml:space="preserve"> or the stolen property is spent or destroyed.</w:t>
      </w:r>
    </w:p>
    <w:p w14:paraId="25496D45" w14:textId="77777777" w:rsidR="00B64282" w:rsidRDefault="00B64282" w:rsidP="00B64282">
      <w:pPr>
        <w:pStyle w:val="Subhead2"/>
      </w:pPr>
      <w:r>
        <w:t>F. Why Assault, Threats, and Attempts Are Aggression</w:t>
      </w:r>
    </w:p>
    <w:p w14:paraId="0CF1C902" w14:textId="77777777" w:rsidR="00B64282" w:rsidRDefault="00B64282" w:rsidP="00B64282">
      <w:pPr>
        <w:pStyle w:val="FirstParagraph"/>
      </w:pPr>
      <w:r>
        <w:t>This method of analyzing whether a proposed punishment is proper also makes it clear just why the threat of violence or assault is properly treated as an aggressive crime. Assault is defined (in some legal systems) as putting someone in fear of receiving a battery—a physical beating—or an attempted battery.</w:t>
      </w:r>
      <w:r>
        <w:rPr>
          <w:rStyle w:val="FootnoteInTextNumber"/>
        </w:rPr>
        <w:footnoteReference w:id="78"/>
      </w:r>
      <w:r>
        <w:t xml:space="preserve"> Suppose </w:t>
      </w:r>
      <w:r>
        <w:rPr>
          <w:rStyle w:val="italic"/>
        </w:rPr>
        <w:t>A</w:t>
      </w:r>
      <w:r>
        <w:t xml:space="preserve"> assaults </w:t>
      </w:r>
      <w:r>
        <w:rPr>
          <w:rStyle w:val="italic"/>
        </w:rPr>
        <w:t>B</w:t>
      </w:r>
      <w:r>
        <w:t xml:space="preserve">, such as by pointing a gun at him or threatening to beat him. Clearly </w:t>
      </w:r>
      <w:r>
        <w:rPr>
          <w:rStyle w:val="italic"/>
        </w:rPr>
        <w:t>B</w:t>
      </w:r>
      <w:r>
        <w:t xml:space="preserve"> is entitled to do to </w:t>
      </w:r>
      <w:r>
        <w:rPr>
          <w:rStyle w:val="italic"/>
        </w:rPr>
        <w:t>A</w:t>
      </w:r>
      <w:r>
        <w:t xml:space="preserve"> what </w:t>
      </w:r>
      <w:r>
        <w:rPr>
          <w:rStyle w:val="italic"/>
        </w:rPr>
        <w:t>A</w:t>
      </w:r>
      <w:r>
        <w:t xml:space="preserve"> has done to </w:t>
      </w:r>
      <w:r>
        <w:rPr>
          <w:rStyle w:val="italic"/>
        </w:rPr>
        <w:t>B</w:t>
      </w:r>
      <w:r>
        <w:t>—</w:t>
      </w:r>
      <w:r>
        <w:rPr>
          <w:rStyle w:val="italic"/>
        </w:rPr>
        <w:t>A</w:t>
      </w:r>
      <w:r>
        <w:t xml:space="preserve"> is estopped from objecting to the propriety of being threatened or assaulted. But what does this mean? To assault is to manifest an intent to cause harm and to apprise </w:t>
      </w:r>
      <w:r>
        <w:rPr>
          <w:rStyle w:val="italic"/>
        </w:rPr>
        <w:t>B</w:t>
      </w:r>
      <w:r>
        <w:t xml:space="preserve"> of this so that he </w:t>
      </w:r>
      <w:r>
        <w:rPr>
          <w:rStyle w:val="italic"/>
        </w:rPr>
        <w:t>believes</w:t>
      </w:r>
      <w:r>
        <w:t xml:space="preserve"> </w:t>
      </w:r>
      <w:r>
        <w:rPr>
          <w:rStyle w:val="italic"/>
        </w:rPr>
        <w:t>A</w:t>
      </w:r>
      <w:r>
        <w:t xml:space="preserve"> will inflict this harm—otherwise it is something like a joke or acting, and </w:t>
      </w:r>
      <w:r>
        <w:rPr>
          <w:rStyle w:val="italic"/>
        </w:rPr>
        <w:t>B</w:t>
      </w:r>
      <w:r>
        <w:t xml:space="preserve"> is not actually in apprehension of being coerced. Now </w:t>
      </w:r>
      <w:r>
        <w:rPr>
          <w:rStyle w:val="italic"/>
        </w:rPr>
        <w:t>A</w:t>
      </w:r>
      <w:r>
        <w:t xml:space="preserve"> was able to </w:t>
      </w:r>
      <w:proofErr w:type="gramStart"/>
      <w:r>
        <w:t>actually put</w:t>
      </w:r>
      <w:proofErr w:type="gramEnd"/>
      <w:r>
        <w:t xml:space="preserve"> </w:t>
      </w:r>
      <w:r>
        <w:rPr>
          <w:rStyle w:val="italic"/>
        </w:rPr>
        <w:t>B</w:t>
      </w:r>
      <w:r>
        <w:t xml:space="preserve"> in a state of fear—of receiving a battery—by threatening </w:t>
      </w:r>
      <w:r>
        <w:rPr>
          <w:rStyle w:val="italic"/>
        </w:rPr>
        <w:t>B</w:t>
      </w:r>
      <w:r>
        <w:t xml:space="preserve">. But because of the nature of assault, the only way </w:t>
      </w:r>
      <w:r>
        <w:rPr>
          <w:rStyle w:val="italic"/>
        </w:rPr>
        <w:t>B</w:t>
      </w:r>
      <w:r>
        <w:t xml:space="preserve"> can really make </w:t>
      </w:r>
      <w:r>
        <w:rPr>
          <w:rStyle w:val="italic"/>
        </w:rPr>
        <w:t>A</w:t>
      </w:r>
      <w:r>
        <w:t xml:space="preserve"> fear a retaliatory act by </w:t>
      </w:r>
      <w:r>
        <w:rPr>
          <w:rStyle w:val="italic"/>
        </w:rPr>
        <w:t>B</w:t>
      </w:r>
      <w:r>
        <w:t xml:space="preserve"> is if </w:t>
      </w:r>
      <w:r>
        <w:rPr>
          <w:rStyle w:val="italic"/>
        </w:rPr>
        <w:t>B</w:t>
      </w:r>
      <w:r>
        <w:t xml:space="preserve"> </w:t>
      </w:r>
      <w:r>
        <w:rPr>
          <w:rStyle w:val="italic"/>
        </w:rPr>
        <w:t>really means it</w:t>
      </w:r>
      <w:r>
        <w:t xml:space="preserve"> and is able to convince </w:t>
      </w:r>
      <w:r>
        <w:rPr>
          <w:rStyle w:val="italic"/>
        </w:rPr>
        <w:t>A</w:t>
      </w:r>
      <w:r>
        <w:t xml:space="preserve"> of this </w:t>
      </w:r>
      <w:r>
        <w:lastRenderedPageBreak/>
        <w:t xml:space="preserve">fact. Thus, </w:t>
      </w:r>
      <w:r>
        <w:rPr>
          <w:rStyle w:val="italic"/>
        </w:rPr>
        <w:t>B</w:t>
      </w:r>
      <w:r>
        <w:t xml:space="preserve"> must </w:t>
      </w:r>
      <w:proofErr w:type="gramStart"/>
      <w:r>
        <w:t>actually be</w:t>
      </w:r>
      <w:proofErr w:type="gramEnd"/>
      <w:r>
        <w:t xml:space="preserve">—or be capable of being—willing to carry out the threatened coercion of </w:t>
      </w:r>
      <w:r>
        <w:rPr>
          <w:rStyle w:val="italic"/>
        </w:rPr>
        <w:t>A</w:t>
      </w:r>
      <w:r>
        <w:t xml:space="preserve">, not just mouth the words, otherwise </w:t>
      </w:r>
      <w:r>
        <w:rPr>
          <w:rStyle w:val="italic"/>
        </w:rPr>
        <w:t>A</w:t>
      </w:r>
      <w:r>
        <w:t xml:space="preserve"> will know </w:t>
      </w:r>
      <w:r>
        <w:rPr>
          <w:rStyle w:val="italic"/>
        </w:rPr>
        <w:t>B</w:t>
      </w:r>
      <w:r>
        <w:t xml:space="preserve"> is merely engaged in idle threats, merely bluffing. Indeed, </w:t>
      </w:r>
      <w:r>
        <w:rPr>
          <w:rStyle w:val="italic"/>
        </w:rPr>
        <w:t>B</w:t>
      </w:r>
      <w:r>
        <w:t xml:space="preserve"> can legitimately go forward with the threatened action if only to make </w:t>
      </w:r>
      <w:r>
        <w:rPr>
          <w:rStyle w:val="italic"/>
        </w:rPr>
        <w:t>A</w:t>
      </w:r>
      <w:r>
        <w:t xml:space="preserve"> believe it. Although </w:t>
      </w:r>
      <w:r>
        <w:rPr>
          <w:rStyle w:val="italic"/>
        </w:rPr>
        <w:t>A</w:t>
      </w:r>
      <w:r>
        <w:t xml:space="preserve"> need not actually use force to assault </w:t>
      </w:r>
      <w:r>
        <w:rPr>
          <w:rStyle w:val="italic"/>
        </w:rPr>
        <w:t>B</w:t>
      </w:r>
      <w:r>
        <w:t xml:space="preserve">, because of the nature of retaliation, there is simply no way for </w:t>
      </w:r>
      <w:r>
        <w:rPr>
          <w:rStyle w:val="italic"/>
        </w:rPr>
        <w:t>B</w:t>
      </w:r>
      <w:r>
        <w:t xml:space="preserve"> to assault </w:t>
      </w:r>
      <w:r>
        <w:rPr>
          <w:rStyle w:val="italic"/>
        </w:rPr>
        <w:t>A</w:t>
      </w:r>
      <w:r>
        <w:t xml:space="preserve"> in return without </w:t>
      </w:r>
      <w:proofErr w:type="gramStart"/>
      <w:r>
        <w:t>actually having</w:t>
      </w:r>
      <w:proofErr w:type="gramEnd"/>
      <w:r>
        <w:t xml:space="preserve"> the right to use force against </w:t>
      </w:r>
      <w:r>
        <w:rPr>
          <w:rStyle w:val="italic"/>
        </w:rPr>
        <w:t>A</w:t>
      </w:r>
      <w:r>
        <w:t xml:space="preserve">. Because the very situation is caused by </w:t>
      </w:r>
      <w:r>
        <w:rPr>
          <w:rStyle w:val="italic"/>
        </w:rPr>
        <w:t>A</w:t>
      </w:r>
      <w:r>
        <w:t xml:space="preserve">’s action, he is estopped from objecting to the necessity of </w:t>
      </w:r>
      <w:r>
        <w:rPr>
          <w:rStyle w:val="italic"/>
        </w:rPr>
        <w:t>B</w:t>
      </w:r>
      <w:r>
        <w:t xml:space="preserve"> using force against him.</w:t>
      </w:r>
      <w:r>
        <w:rPr>
          <w:rStyle w:val="FootnoteInTextNumber"/>
        </w:rPr>
        <w:footnoteReference w:id="79"/>
      </w:r>
      <w:r>
        <w:t xml:space="preserve"> Likewise, if </w:t>
      </w:r>
      <w:r>
        <w:rPr>
          <w:rStyle w:val="italic"/>
        </w:rPr>
        <w:t>A</w:t>
      </w:r>
      <w:r>
        <w:t xml:space="preserve"> attempts to harm </w:t>
      </w:r>
      <w:r>
        <w:rPr>
          <w:rStyle w:val="italic"/>
        </w:rPr>
        <w:t>B</w:t>
      </w:r>
      <w:r>
        <w:t xml:space="preserve"> but fails, then </w:t>
      </w:r>
      <w:r>
        <w:rPr>
          <w:rStyle w:val="italic"/>
        </w:rPr>
        <w:t>B</w:t>
      </w:r>
      <w:r>
        <w:t xml:space="preserve"> is entitled to “attempt” to harm </w:t>
      </w:r>
      <w:r>
        <w:rPr>
          <w:rStyle w:val="italic"/>
        </w:rPr>
        <w:t>A</w:t>
      </w:r>
      <w:r>
        <w:t xml:space="preserve">; for the attempt to be a real attempt, it must be possible for </w:t>
      </w:r>
      <w:r>
        <w:rPr>
          <w:rStyle w:val="italic"/>
        </w:rPr>
        <w:t>B</w:t>
      </w:r>
      <w:r>
        <w:t xml:space="preserve"> to succeed. And so on.</w:t>
      </w:r>
    </w:p>
    <w:p w14:paraId="32B91C82" w14:textId="77777777" w:rsidR="00B64282" w:rsidRDefault="00B64282" w:rsidP="00B64282">
      <w:pPr>
        <w:pStyle w:val="Subhead2"/>
      </w:pPr>
      <w:r>
        <w:t>G. The Burden of Proof</w:t>
      </w:r>
    </w:p>
    <w:p w14:paraId="02876559" w14:textId="77777777" w:rsidR="00B64282" w:rsidRDefault="00B64282" w:rsidP="00B64282">
      <w:pPr>
        <w:pStyle w:val="FirstParagraph"/>
      </w:pPr>
      <w:r>
        <w:t>As seen in the preceding discussion, the victim of a violent crime has the right to select different mixtures and types of punishments. The actual extent or severity of punishment that may be permissibly inflicted, consistent with principles of proportionality and the burden of proof in this regard, is discussed in this section.</w:t>
      </w:r>
    </w:p>
    <w:p w14:paraId="1F47AAB3" w14:textId="77777777" w:rsidR="00B64282" w:rsidRDefault="00B64282" w:rsidP="00B64282">
      <w:pPr>
        <w:pStyle w:val="body"/>
        <w:rPr>
          <w:spacing w:val="1"/>
        </w:rPr>
      </w:pPr>
      <w:r>
        <w:rPr>
          <w:spacing w:val="1"/>
        </w:rPr>
        <w:t xml:space="preserve">Theories of punishment are concerned with justifying punishment, with offering decent people who are reluctant to act immorally a reason why they may punish others. This is useful, of course, for offering moral people guidance and assurance that they may properly deal with those who seek to harm them. We have established so </w:t>
      </w:r>
      <w:proofErr w:type="gramStart"/>
      <w:r>
        <w:rPr>
          <w:spacing w:val="1"/>
        </w:rPr>
        <w:t>far</w:t>
      </w:r>
      <w:proofErr w:type="gramEnd"/>
      <w:r>
        <w:rPr>
          <w:spacing w:val="1"/>
        </w:rPr>
        <w:t xml:space="preserve"> a prima facie case for the right to proportionately punish an aggressor in response to acts of violence, actions which invade the borders of others’ bodies or legitimately acquired property. Once this burden is carried, however, it is just to place the burden of proof on the aggressor to show why a proposed punishment of him is disproportionate or otherwise unjustified. The justice of this point is again implied by the logic of estoppel. The aggressor was not put in the position of justifying how much force he could use against the victim before he used such force; similarly, the victim should not be put in the position of justifying how much force is the appropriate level of retaliatory force to use against the aggressor before retaliating.</w:t>
      </w:r>
    </w:p>
    <w:p w14:paraId="1B6C64AE" w14:textId="77777777" w:rsidR="00B64282" w:rsidRDefault="00B64282" w:rsidP="00B64282">
      <w:pPr>
        <w:pStyle w:val="body"/>
      </w:pPr>
      <w:r>
        <w:t xml:space="preserve">As pointed out above, because it is the aggressor who has put the victim into a situation where the victim has a limited variety and range of remedies, the aggressor is estopped from complaining if the victim uses a type of force against the aggressor that is different from the aggressor’s use of force. The burden of proof and argument is therefore on the aggressor to show why any proposed, creative punishment is </w:t>
      </w:r>
      <w:r>
        <w:rPr>
          <w:rStyle w:val="italic"/>
        </w:rPr>
        <w:t>not</w:t>
      </w:r>
      <w:r>
        <w:t xml:space="preserve"> justified by the aggressor’s aggression. Otherwise, an additional burden is being placed on the victim in addition to the harm already done him. If the victim wants to avoid shouldering this additional burden, the aggressor is estopped from objecting because it was the aggressor who placed the victim in the position of having the burden in the first place. If there is a gray area, the aggressor ought not be allowed to throw his hands up in mock perplexity and escape liability; rather, the line ought to come down on the side of the gray that most favors the victim unless the aggressor can further narrow the gray area with convincing theories and arguments, for the aggressor is the one who brings the gray into existence.</w:t>
      </w:r>
    </w:p>
    <w:p w14:paraId="285F34EA" w14:textId="77777777" w:rsidR="00B64282" w:rsidRDefault="00B64282" w:rsidP="00B64282">
      <w:pPr>
        <w:pStyle w:val="body"/>
        <w:rPr>
          <w:spacing w:val="-1"/>
        </w:rPr>
      </w:pPr>
      <w:r>
        <w:rPr>
          <w:spacing w:val="-1"/>
        </w:rPr>
        <w:lastRenderedPageBreak/>
        <w:t xml:space="preserve">This is </w:t>
      </w:r>
      <w:proofErr w:type="gramStart"/>
      <w:r>
        <w:rPr>
          <w:spacing w:val="-1"/>
        </w:rPr>
        <w:t>similar to</w:t>
      </w:r>
      <w:proofErr w:type="gramEnd"/>
      <w:r>
        <w:rPr>
          <w:spacing w:val="-1"/>
        </w:rPr>
        <w:t xml:space="preserve"> the issue of proportionality itself. Although proportionality or reciprocity is a requirement in general, if a prima facie case for punishment can be established—as it can be whenever force is initiated—the burden of proof lies with the aggressor to demonstrate that </w:t>
      </w:r>
      <w:r>
        <w:rPr>
          <w:rStyle w:val="italic"/>
          <w:spacing w:val="-1"/>
        </w:rPr>
        <w:t>any</w:t>
      </w:r>
      <w:r>
        <w:rPr>
          <w:spacing w:val="-1"/>
        </w:rPr>
        <w:t xml:space="preserve"> proposed use of force, even including execution, mutilation, or enslavement, exceeds bounds of proportionality. As mentioned above, in practice there are several clear areas: murder justifies execution; minor, nonarmed, nonviolent theft does not.</w:t>
      </w:r>
      <w:r>
        <w:rPr>
          <w:rStyle w:val="FootnoteInTextNumber"/>
          <w:spacing w:val="-1"/>
        </w:rPr>
        <w:footnoteReference w:id="80"/>
      </w:r>
      <w:r>
        <w:rPr>
          <w:spacing w:val="-1"/>
        </w:rPr>
        <w:t xml:space="preserve"> Exceeding known appropriate levels of retaliation makes the retaliator an aggressor to the extent of the excess amount of force used. But there are indeed gray areas in which it is difficult, if not impossible, to precisely delimit the exact amount of maximum permissible punishment. However, this uncertain situation, this grayness, is caused by the aggressor. The victim is placed in a quandary and might </w:t>
      </w:r>
      <w:proofErr w:type="spellStart"/>
      <w:r>
        <w:rPr>
          <w:spacing w:val="-1"/>
        </w:rPr>
        <w:t>underpunish</w:t>
      </w:r>
      <w:proofErr w:type="spellEnd"/>
      <w:r>
        <w:rPr>
          <w:spacing w:val="-1"/>
        </w:rPr>
        <w:t xml:space="preserve">, or underutilize his right to punish, if he </w:t>
      </w:r>
      <w:proofErr w:type="gramStart"/>
      <w:r>
        <w:rPr>
          <w:spacing w:val="-1"/>
        </w:rPr>
        <w:t>has to</w:t>
      </w:r>
      <w:proofErr w:type="gramEnd"/>
      <w:r>
        <w:rPr>
          <w:spacing w:val="-1"/>
        </w:rPr>
        <w:t xml:space="preserve"> justify how much force he can use. Or he might have to expend extra resources in terms of time or money—for example, to hire a philosopher or lawyer to figure out exactly how much punishment is warranted—which would impermissibly increase the total harm done to the victim.</w:t>
      </w:r>
    </w:p>
    <w:p w14:paraId="677DB658" w14:textId="77777777" w:rsidR="00B64282" w:rsidRDefault="00B64282" w:rsidP="00B64282">
      <w:pPr>
        <w:pStyle w:val="body"/>
      </w:pPr>
      <w:r>
        <w:t>It is indeed difficult to determine the bounds of proportionality in many cases. But we do know one thing: force has been initiated against the victim, and thus force, in general, may be used against the victimizer. Other than for easy or established cases, any ambiguity or doubt must be resolved in favor of the victim unless the aggressor bears his burden of argument to explain why the proposed punishment exceeds his own initial aggression.</w:t>
      </w:r>
      <w:r>
        <w:rPr>
          <w:rStyle w:val="FootnoteInTextNumber"/>
        </w:rPr>
        <w:footnoteReference w:id="81"/>
      </w:r>
      <w:r>
        <w:t xml:space="preserve"> Unless the maximum permissible level of retaliation is clearly established or persuasively argued by the aggressor, there should be no limitations on the victim’s right to retaliate. Further, suppose the aggressor is not able to show why the victim may not execute him, even for a nonkilling act of aggression, and thus the aggressor is executed. If the aggressor’s heirs should later successfully show that the type of aggression perpetrated by the aggressor did not, in fact, warrant capital punishment, still the victim has committed no aggression. To so hold would be to require victims to err on the side of </w:t>
      </w:r>
      <w:proofErr w:type="spellStart"/>
      <w:r>
        <w:t>underpunishing</w:t>
      </w:r>
      <w:proofErr w:type="spellEnd"/>
      <w:r>
        <w:t xml:space="preserve"> in cases of doubt </w:t>
      </w:r>
      <w:proofErr w:type="gramStart"/>
      <w:r>
        <w:t>in order to</w:t>
      </w:r>
      <w:proofErr w:type="gramEnd"/>
      <w:r>
        <w:t xml:space="preserve"> avoid potential liability in the future if it turns out that the aggressor could have made a better defensive argument. For the fact that there is a doubtful question is the aggressor’s fault, and if he does not resolve it—either because of laziness, incompetence, bad luck, or tactics designed to make the victim unsure of how much he may punish—the victim should not be further harmed by this fact, which he would be if he were forced to take the risk that he might </w:t>
      </w:r>
      <w:proofErr w:type="spellStart"/>
      <w:r>
        <w:t>underpunish</w:t>
      </w:r>
      <w:proofErr w:type="spellEnd"/>
      <w:r>
        <w:t xml:space="preserve"> when punishing in the gray area.</w:t>
      </w:r>
    </w:p>
    <w:p w14:paraId="5CC936CB" w14:textId="77777777" w:rsidR="00B64282" w:rsidRDefault="00B64282" w:rsidP="00B64282">
      <w:pPr>
        <w:pStyle w:val="body"/>
      </w:pPr>
      <w:r>
        <w:t xml:space="preserve">Thus, several factors may be </w:t>
      </w:r>
      <w:proofErr w:type="gramStart"/>
      <w:r>
        <w:t>taken into account</w:t>
      </w:r>
      <w:proofErr w:type="gramEnd"/>
      <w:r>
        <w:t xml:space="preserve"> in coming up with an appropriate punishment. Suppose that an aggressor kidnaps and cuts off the hand of the victim. The victim is clearly entitled to do the same to the aggressor. But if the victim wishes to cut off the aggressor’s foot instead—for some </w:t>
      </w:r>
      <w:r>
        <w:lastRenderedPageBreak/>
        <w:t xml:space="preserve">reason—he is, prima facie, entitled to do this. The victim would also be entitled to cut off </w:t>
      </w:r>
      <w:proofErr w:type="gramStart"/>
      <w:r>
        <w:t>both of the aggressor’s</w:t>
      </w:r>
      <w:proofErr w:type="gramEnd"/>
      <w:r>
        <w:t xml:space="preserve"> hands unless the aggressor could explain why this is a higher amount of coercion than his own.</w:t>
      </w:r>
      <w:r>
        <w:rPr>
          <w:rStyle w:val="FootnoteInTextNumber"/>
        </w:rPr>
        <w:footnoteReference w:id="82"/>
      </w:r>
      <w:r>
        <w:t xml:space="preserve"> Merely cutting off one of the aggressor’s hands might actually not be as extreme as was the aggressor’s own action. For example, the victim may have been a painter. Thus, the consequence of the aggressive violence might be that, in addition to endangering the victim’s very life and causing pain, the victim suffers a huge amount of mental and financial damage. It might take cutting off all four of the aggressor’s limbs or even decapitating him to inflict that much damage on him. We know that it is permissible to employ violence against an aggressor. How much? Let the aggressor bear the burden of figuring this out.</w:t>
      </w:r>
    </w:p>
    <w:p w14:paraId="2E47E802" w14:textId="77777777" w:rsidR="00B64282" w:rsidRDefault="00B64282" w:rsidP="00B64282">
      <w:pPr>
        <w:pStyle w:val="body"/>
      </w:pPr>
      <w:r>
        <w:t xml:space="preserve">As mentioned above with respect to rape, the victim may be squeamish about violence itself and thus recoil at the idea of eye-for-an-eye. If that is the victim’s nature, the victim should not be penalized further by being forced to administer </w:t>
      </w:r>
      <w:r>
        <w:rPr>
          <w:rStyle w:val="italic"/>
        </w:rPr>
        <w:t>lex talionis</w:t>
      </w:r>
      <w:r>
        <w:t>. The aggressor must take his victim as he finds him</w:t>
      </w:r>
      <w:r>
        <w:rPr>
          <w:rStyle w:val="FootnoteInTextNumber"/>
        </w:rPr>
        <w:footnoteReference w:id="83"/>
      </w:r>
      <w:r>
        <w:t xml:space="preserve"> and is estopped from complaining because he placed the victim in the situation where the victim’s special preferences can only be satisfied by a nonreciprocal punishment. Thus, the victim may instead choose to seize a certain portion of the aggressor’s property. The amount of the award that is “equal” to the damage done is of course difficult to determine, but, if nothing else, similar principles could be used as are used in today’s tort and criminal justice system. If the </w:t>
      </w:r>
      <w:proofErr w:type="gramStart"/>
      <w:r>
        <w:t>amount</w:t>
      </w:r>
      <w:proofErr w:type="gramEnd"/>
      <w:r>
        <w:t xml:space="preserve"> of damages is uncertain or seems “too high,” it must be recalled that the aggressor himself originated this state of uncertainty, and thus he cannot now be heard to complain about it.</w:t>
      </w:r>
    </w:p>
    <w:p w14:paraId="179C5B89" w14:textId="77777777" w:rsidR="00B64282" w:rsidRDefault="00B64282" w:rsidP="00B64282">
      <w:pPr>
        <w:pStyle w:val="body"/>
      </w:pPr>
      <w:r>
        <w:t xml:space="preserve">Alternatively, a more objective damage award could be determined by the victim bargaining away his right to inflict corporal punishment </w:t>
      </w:r>
      <w:r>
        <w:rPr>
          <w:spacing w:val="-2"/>
        </w:rPr>
        <w:t xml:space="preserve">against the aggressor in return for some or </w:t>
      </w:r>
      <w:proofErr w:type="gramStart"/>
      <w:r>
        <w:rPr>
          <w:spacing w:val="-2"/>
        </w:rPr>
        <w:t>all of</w:t>
      </w:r>
      <w:proofErr w:type="gramEnd"/>
      <w:r>
        <w:rPr>
          <w:spacing w:val="-2"/>
        </w:rPr>
        <w:t xml:space="preserve"> the aggressor’s property.</w:t>
      </w:r>
      <w:r>
        <w:rPr>
          <w:rStyle w:val="FootnoteInTextNumber"/>
          <w:spacing w:val="-2"/>
        </w:rPr>
        <w:footnoteReference w:id="84"/>
      </w:r>
      <w:r>
        <w:t xml:space="preserve"> This might be an especially attractive—or the least unattractive—alternative for a person victimized by a very rich aggressor. The established </w:t>
      </w:r>
      <w:r>
        <w:rPr>
          <w:spacing w:val="-3"/>
        </w:rPr>
        <w:t>award for chopping someone’s hand off might normally be, say, $1 million.</w:t>
      </w:r>
      <w:r>
        <w:t xml:space="preserve"> </w:t>
      </w:r>
      <w:r>
        <w:rPr>
          <w:spacing w:val="-1"/>
        </w:rPr>
        <w:t xml:space="preserve">However, this would mean that a billionaire could commit such crimes with impunity. Under the estoppel view of punishment, the victim, instead </w:t>
      </w:r>
      <w:r>
        <w:t xml:space="preserve">of taking $1 million of the aggressor’s money, could kidnap the aggressor and threaten to exercise his right to, say, chop off </w:t>
      </w:r>
      <w:proofErr w:type="gramStart"/>
      <w:r>
        <w:t>both of the aggressor’s</w:t>
      </w:r>
      <w:proofErr w:type="gramEnd"/>
      <w:r>
        <w:t xml:space="preserve"> arms, slowly, and with pain. A billionaire may be willing to trade half, or even all, his wealth to escape this punishment.</w:t>
      </w:r>
    </w:p>
    <w:p w14:paraId="64706332" w14:textId="77777777" w:rsidR="00B64282" w:rsidRDefault="00B64282" w:rsidP="00B64282">
      <w:pPr>
        <w:pStyle w:val="body"/>
        <w:rPr>
          <w:spacing w:val="-1"/>
        </w:rPr>
      </w:pPr>
      <w:r>
        <w:rPr>
          <w:spacing w:val="-1"/>
        </w:rPr>
        <w:t>For poor aggressors, there is no property to take as restitution, and the mere infliction of pain on the aggressor may not satisfy some victims. They would be entitled to enslave the aggressor or sell him into slavery or for medical testing to yield the best profit possible.</w:t>
      </w:r>
      <w:r>
        <w:rPr>
          <w:rStyle w:val="FootnoteInTextNumber"/>
          <w:spacing w:val="-1"/>
        </w:rPr>
        <w:footnoteReference w:id="85"/>
      </w:r>
      <w:r>
        <w:rPr>
          <w:spacing w:val="-1"/>
        </w:rPr>
        <w:t xml:space="preserve"> </w:t>
      </w:r>
    </w:p>
    <w:p w14:paraId="469A597E" w14:textId="77777777" w:rsidR="00B64282" w:rsidRDefault="00B64282" w:rsidP="00B64282">
      <w:pPr>
        <w:pStyle w:val="Subheads"/>
      </w:pPr>
      <w:r>
        <w:lastRenderedPageBreak/>
        <w:t>V. CONCLUSION</w:t>
      </w:r>
    </w:p>
    <w:p w14:paraId="2A6818EE" w14:textId="77777777" w:rsidR="00B64282" w:rsidRDefault="00B64282" w:rsidP="00B64282">
      <w:pPr>
        <w:pStyle w:val="FirstParagraph"/>
        <w:rPr>
          <w:spacing w:val="-1"/>
        </w:rPr>
      </w:pPr>
      <w:r>
        <w:rPr>
          <w:spacing w:val="-1"/>
        </w:rPr>
        <w:t xml:space="preserve">The ways in which punishment can be administered are rich and various, but all the </w:t>
      </w:r>
      <w:proofErr w:type="gramStart"/>
      <w:r>
        <w:rPr>
          <w:spacing w:val="-1"/>
        </w:rPr>
        <w:t>typically-cited</w:t>
      </w:r>
      <w:proofErr w:type="gramEnd"/>
      <w:r>
        <w:rPr>
          <w:spacing w:val="-1"/>
        </w:rPr>
        <w:t xml:space="preserve"> goals of punishment could be accommodated under the view of punishment set forth above. Criminals could be incapacitated and deterred, even rehabilitated, perhaps, according to the victim’s choice. Restitution could be obtained in a variety of ways, or, if the victim </w:t>
      </w:r>
      <w:proofErr w:type="gramStart"/>
      <w:r>
        <w:rPr>
          <w:spacing w:val="-1"/>
        </w:rPr>
        <w:t>so chooses,</w:t>
      </w:r>
      <w:proofErr w:type="gramEnd"/>
      <w:r>
        <w:rPr>
          <w:spacing w:val="-1"/>
        </w:rPr>
        <w:t xml:space="preserve"> retribution or revenge. Though it is difficult to precisely determine the boundaries of proportionality, justice requires that the aggressor be held responsible for the dilemma he has created as well as for the aggression he has committed.</w:t>
      </w:r>
    </w:p>
    <w:p w14:paraId="76913A59" w14:textId="77777777" w:rsidR="00B64282" w:rsidRDefault="00B64282" w:rsidP="00B64282">
      <w:pPr>
        <w:pStyle w:val="Subheads"/>
        <w:spacing w:before="450"/>
        <w:rPr>
          <w:rFonts w:ascii="Le Monde Livre Cla Std" w:hAnsi="Le Monde Livre Cla Std" w:cs="Le Monde Livre Cla Std"/>
        </w:rPr>
      </w:pPr>
      <w:r>
        <w:rPr>
          <w:rFonts w:ascii="Le Monde Livre Cla Std" w:hAnsi="Le Monde Livre Cla Std" w:cs="Le Monde Livre Cla Std"/>
          <w:b/>
          <w:bCs/>
        </w:rPr>
        <w:t>APPENDIX</w:t>
      </w:r>
      <w:r>
        <w:rPr>
          <w:rFonts w:ascii="Le Monde Livre Cla Std" w:hAnsi="Le Monde Livre Cla Std" w:cs="Le Monde Livre Cla Std"/>
          <w:b/>
          <w:bCs/>
        </w:rPr>
        <w:br/>
      </w:r>
      <w:r>
        <w:rPr>
          <w:rFonts w:ascii="Le Monde Livre Cla Std" w:hAnsi="Le Monde Livre Cla Std" w:cs="Le Monde Livre Cla Std"/>
        </w:rPr>
        <w:t>THE JUSTICE OF RESPONSIVE FORCE</w:t>
      </w:r>
    </w:p>
    <w:p w14:paraId="3C786B02" w14:textId="77777777" w:rsidR="00B64282" w:rsidRDefault="00B64282" w:rsidP="00B64282">
      <w:pPr>
        <w:pStyle w:val="FirstParagraph"/>
        <w:rPr>
          <w:spacing w:val="1"/>
        </w:rPr>
      </w:pPr>
      <w:r>
        <w:rPr>
          <w:spacing w:val="1"/>
        </w:rPr>
        <w:t xml:space="preserve">In Part III.C above, I discussed the legitimacy of punishing aggressors, that is, the justice of </w:t>
      </w:r>
      <w:r>
        <w:rPr>
          <w:rStyle w:val="italic"/>
          <w:spacing w:val="1"/>
        </w:rPr>
        <w:t>responsive</w:t>
      </w:r>
      <w:r>
        <w:rPr>
          <w:spacing w:val="1"/>
        </w:rPr>
        <w:t xml:space="preserve"> force—force that is </w:t>
      </w:r>
      <w:r>
        <w:rPr>
          <w:rStyle w:val="italic"/>
          <w:spacing w:val="1"/>
        </w:rPr>
        <w:t>in response to</w:t>
      </w:r>
      <w:r>
        <w:rPr>
          <w:spacing w:val="1"/>
        </w:rPr>
        <w:t xml:space="preserve"> aggression, or initiated force. As noted above, the material here was originally intended to appear in footnote 44, above. Due to its length, I include this material in this appendix. </w:t>
      </w:r>
    </w:p>
    <w:p w14:paraId="72ADFD2C" w14:textId="77777777" w:rsidR="00B64282" w:rsidRDefault="00B64282" w:rsidP="00B64282">
      <w:pPr>
        <w:pStyle w:val="body"/>
      </w:pPr>
      <w:r>
        <w:t>As noted in “Dialogical Arguments for Libertarian Rights” (</w:t>
      </w:r>
      <w:proofErr w:type="spellStart"/>
      <w:r>
        <w:t>ch.</w:t>
      </w:r>
      <w:proofErr w:type="spellEnd"/>
      <w:r>
        <w:t xml:space="preserve"> 6), “Defending Argumentation Ethics” (</w:t>
      </w:r>
      <w:proofErr w:type="spellStart"/>
      <w:r>
        <w:t>ch.</w:t>
      </w:r>
      <w:proofErr w:type="spellEnd"/>
      <w:r>
        <w:t xml:space="preserve"> 7), and “The Undeniable Morality of Capitalism” (</w:t>
      </w:r>
      <w:proofErr w:type="spellStart"/>
      <w:r>
        <w:t>ch.</w:t>
      </w:r>
      <w:proofErr w:type="spellEnd"/>
      <w:r>
        <w:t xml:space="preserve"> 22), Hans-Hermann Hoppe has defended the right to self-defense and retaliatory force in his argumentation ethics. For a recent book-length treatment of ideas related to Hoppe’s argumentation ethics and my estoppel approach advanced in this chapter, see Pavel </w:t>
      </w:r>
      <w:proofErr w:type="spellStart"/>
      <w:r>
        <w:t>Slutskiy</w:t>
      </w:r>
      <w:proofErr w:type="spellEnd"/>
      <w:r>
        <w:t xml:space="preserve">, </w:t>
      </w:r>
      <w:r>
        <w:rPr>
          <w:rStyle w:val="italic"/>
        </w:rPr>
        <w:t>Communication and Libertarianism</w:t>
      </w:r>
      <w:r>
        <w:t xml:space="preserve"> (Springer, 2021), and further references in these chapters.</w:t>
      </w:r>
    </w:p>
    <w:p w14:paraId="17D66BD6" w14:textId="77777777" w:rsidR="00B64282" w:rsidRDefault="00B64282" w:rsidP="00B64282">
      <w:pPr>
        <w:pStyle w:val="body"/>
      </w:pPr>
      <w:r>
        <w:t xml:space="preserve">Others have previously recognized the justice of using force against one who has used force. Law professor Lawrence Crocker writes: </w:t>
      </w:r>
    </w:p>
    <w:p w14:paraId="17F3A4F8" w14:textId="77777777" w:rsidR="00B64282" w:rsidRDefault="00B64282" w:rsidP="00B64282">
      <w:pPr>
        <w:pStyle w:val="blockquote"/>
      </w:pPr>
      <w:r>
        <w:t>Suppose … that A and B are shipwrecked on a deserted island. A makes use of the only firearm salvaged from the wreck to force B to build him a shelter. If B gains control of the gun, it will not be unfair for B to use it to force A to return the favor.</w:t>
      </w:r>
      <w:r>
        <w:rPr>
          <w:rStyle w:val="FootnoteInTextNumber"/>
        </w:rPr>
        <w:footnoteReference w:id="86"/>
      </w:r>
      <w:r>
        <w:t xml:space="preserve"> </w:t>
      </w:r>
    </w:p>
    <w:p w14:paraId="790C88B8" w14:textId="77777777" w:rsidR="00B64282" w:rsidRDefault="00B64282" w:rsidP="00B64282">
      <w:pPr>
        <w:pStyle w:val="FirstParagraph"/>
      </w:pPr>
      <w:r>
        <w:t>Libertarian philosopher John Hospers opined that when an aggressor initiates force, “the victim is entitled to respond according to the rule (‘</w:t>
      </w:r>
      <w:r>
        <w:rPr>
          <w:rStyle w:val="italic"/>
        </w:rPr>
        <w:t>The use of force is permissible</w:t>
      </w:r>
      <w:r>
        <w:t xml:space="preserve">’) that the </w:t>
      </w:r>
      <w:r>
        <w:rPr>
          <w:rStyle w:val="italic"/>
        </w:rPr>
        <w:t>aggressor himself</w:t>
      </w:r>
      <w:r>
        <w:t xml:space="preserve"> has implicitly laid down.”</w:t>
      </w:r>
      <w:r>
        <w:rPr>
          <w:rStyle w:val="FootnoteInTextNumber"/>
        </w:rPr>
        <w:footnoteReference w:id="87"/>
      </w:r>
      <w:r>
        <w:t xml:space="preserve"> According to Herbert Morris:</w:t>
      </w:r>
    </w:p>
    <w:p w14:paraId="70E5F7BF" w14:textId="77777777" w:rsidR="00B64282" w:rsidRDefault="00B64282" w:rsidP="00B64282">
      <w:pPr>
        <w:pStyle w:val="blockquote"/>
      </w:pPr>
      <w:r>
        <w:t xml:space="preserve">If I say the magic words “take the watch for a couple of days” or “go ahead and slap me,” have I waived my right not to have my property taken or a right not to be struck or have I, rather, in saying what I have, simply stepped into a relation in which the rights no longer apply with respect to a specified other person? These observations find support in the following considerations. The right is that which gives rise, when infringed, to a legitimate claim against another person. What this suggests is that the right is that sphere interference with which </w:t>
      </w:r>
      <w:r>
        <w:rPr>
          <w:rStyle w:val="italic"/>
        </w:rPr>
        <w:t>entitles us to complain</w:t>
      </w:r>
      <w:r>
        <w:t xml:space="preserve"> or gives us a right to complain. From this it seems to follow that a right to bodily security should be more precisely described as “a right that others </w:t>
      </w:r>
      <w:proofErr w:type="gramStart"/>
      <w:r>
        <w:t>not interfere</w:t>
      </w:r>
      <w:proofErr w:type="gramEnd"/>
      <w:r>
        <w:t xml:space="preserve"> </w:t>
      </w:r>
      <w:r>
        <w:rPr>
          <w:rStyle w:val="italic"/>
        </w:rPr>
        <w:t>without permission</w:t>
      </w:r>
      <w:r>
        <w:t xml:space="preserve">.” And there is the corresponding duty not to interfere unless provided permission. </w:t>
      </w:r>
      <w:proofErr w:type="gramStart"/>
      <w:r>
        <w:t>Thus</w:t>
      </w:r>
      <w:proofErr w:type="gramEnd"/>
      <w:r>
        <w:t xml:space="preserve"> when we talk of waiving our rights or “giving up our rights” in such cases we are not waiving or giving up our right to property </w:t>
      </w:r>
      <w:r>
        <w:lastRenderedPageBreak/>
        <w:t xml:space="preserve">nor our right to bodily security, for we still, of course, possess the right not to have our watch taken without permission. </w:t>
      </w:r>
      <w:r>
        <w:rPr>
          <w:rStyle w:val="italic"/>
        </w:rPr>
        <w:t>We have rather placed ourselves in a position where we do not possess the capacity</w:t>
      </w:r>
      <w:r>
        <w:t xml:space="preserve">, sometimes called a right, </w:t>
      </w:r>
      <w:r>
        <w:rPr>
          <w:rStyle w:val="italic"/>
        </w:rPr>
        <w:t>to complain</w:t>
      </w:r>
      <w:r>
        <w:t xml:space="preserve"> if the person takes the watch or slaps us.</w:t>
      </w:r>
      <w:r>
        <w:rPr>
          <w:rStyle w:val="FootnoteInTextNumber"/>
        </w:rPr>
        <w:footnoteReference w:id="88"/>
      </w:r>
      <w:r>
        <w:t xml:space="preserve"> </w:t>
      </w:r>
    </w:p>
    <w:p w14:paraId="415E52CC" w14:textId="77777777" w:rsidR="00B64282" w:rsidRDefault="00B64282" w:rsidP="00B64282">
      <w:pPr>
        <w:pStyle w:val="FirstParagraph"/>
      </w:pPr>
      <w:r>
        <w:t>Or as Hegel wrote:</w:t>
      </w:r>
    </w:p>
    <w:p w14:paraId="5A9B320D" w14:textId="77777777" w:rsidR="00B64282" w:rsidRDefault="00B64282" w:rsidP="00B64282">
      <w:pPr>
        <w:pStyle w:val="blockquote"/>
      </w:pPr>
      <w:r>
        <w:t xml:space="preserve">The injury [the penalty] which falls on the criminal is not merely </w:t>
      </w:r>
      <w:r>
        <w:rPr>
          <w:rStyle w:val="italic"/>
        </w:rPr>
        <w:t>implicitly</w:t>
      </w:r>
      <w:r>
        <w:t xml:space="preserve"> just—as just, it is </w:t>
      </w:r>
      <w:proofErr w:type="spellStart"/>
      <w:r>
        <w:rPr>
          <w:rStyle w:val="italic"/>
        </w:rPr>
        <w:t>eo</w:t>
      </w:r>
      <w:proofErr w:type="spellEnd"/>
      <w:r>
        <w:rPr>
          <w:rStyle w:val="italic"/>
        </w:rPr>
        <w:t xml:space="preserve"> ipso</w:t>
      </w:r>
      <w:r>
        <w:t xml:space="preserve"> his implicit will, an embodiment of his freedom, his right; on the contrary, it is also a right </w:t>
      </w:r>
      <w:r>
        <w:rPr>
          <w:rStyle w:val="italic"/>
        </w:rPr>
        <w:t>established</w:t>
      </w:r>
      <w:r>
        <w:t xml:space="preserve"> within the criminal himself, i.e., in his objectively embodied will, in his action. The reason for this is that </w:t>
      </w:r>
      <w:r>
        <w:rPr>
          <w:rStyle w:val="italic"/>
        </w:rPr>
        <w:t>his action</w:t>
      </w:r>
      <w:r>
        <w:t xml:space="preserve"> is the action of a rational being and this implies that </w:t>
      </w:r>
      <w:r>
        <w:rPr>
          <w:rStyle w:val="italic"/>
        </w:rPr>
        <w:t>it is something universal</w:t>
      </w:r>
      <w:r>
        <w:t xml:space="preserve"> and that </w:t>
      </w:r>
      <w:r>
        <w:rPr>
          <w:rStyle w:val="italic"/>
        </w:rPr>
        <w:t>by doing it the criminal has laid down a law which he has explicitly recognized in his action</w:t>
      </w:r>
      <w:r>
        <w:t xml:space="preserve"> and under which in consequence he should be brought as under his right.</w:t>
      </w:r>
      <w:r>
        <w:rPr>
          <w:rStyle w:val="FootnoteInTextNumber"/>
        </w:rPr>
        <w:footnoteReference w:id="89"/>
      </w:r>
      <w:r>
        <w:t xml:space="preserve"> </w:t>
      </w:r>
    </w:p>
    <w:p w14:paraId="0EDC03AD" w14:textId="77777777" w:rsidR="00B64282" w:rsidRDefault="00B64282" w:rsidP="00B64282">
      <w:pPr>
        <w:pStyle w:val="FirstParagraph"/>
        <w:rPr>
          <w:spacing w:val="-1"/>
        </w:rPr>
      </w:pPr>
      <w:r>
        <w:rPr>
          <w:spacing w:val="-1"/>
        </w:rPr>
        <w:t xml:space="preserve">Thus, under Hegel’s philosophy, “when a criminal steals another person’s property, he is not only denying that person’s right to own that piece of property, </w:t>
      </w:r>
      <w:proofErr w:type="gramStart"/>
      <w:r>
        <w:rPr>
          <w:spacing w:val="-1"/>
        </w:rPr>
        <w:t>he is denying</w:t>
      </w:r>
      <w:proofErr w:type="gramEnd"/>
      <w:r>
        <w:rPr>
          <w:spacing w:val="-1"/>
        </w:rPr>
        <w:t xml:space="preserve"> the right to property in </w:t>
      </w:r>
      <w:r>
        <w:rPr>
          <w:rStyle w:val="italic"/>
          <w:spacing w:val="-1"/>
        </w:rPr>
        <w:t>itself</w:t>
      </w:r>
      <w:r>
        <w:rPr>
          <w:spacing w:val="-1"/>
        </w:rPr>
        <w:t>.”</w:t>
      </w:r>
      <w:r>
        <w:rPr>
          <w:rStyle w:val="FootnoteInTextNumber"/>
          <w:spacing w:val="-1"/>
        </w:rPr>
        <w:footnoteReference w:id="90"/>
      </w:r>
      <w:r>
        <w:rPr>
          <w:spacing w:val="-1"/>
        </w:rPr>
        <w:t xml:space="preserve"> </w:t>
      </w:r>
    </w:p>
    <w:p w14:paraId="2985CD5B" w14:textId="77777777" w:rsidR="00B64282" w:rsidRDefault="00B64282" w:rsidP="00B64282">
      <w:pPr>
        <w:pStyle w:val="body"/>
      </w:pPr>
      <w:r>
        <w:t xml:space="preserve">Charles King, discussing the moral acceptability of using force against force, states that when another </w:t>
      </w:r>
      <w:proofErr w:type="gramStart"/>
      <w:r>
        <w:t>initiates</w:t>
      </w:r>
      <w:proofErr w:type="gramEnd"/>
      <w:r>
        <w:t xml:space="preserve"> force,</w:t>
      </w:r>
    </w:p>
    <w:p w14:paraId="0D23D6CE" w14:textId="77777777" w:rsidR="00B64282" w:rsidRDefault="00B64282" w:rsidP="00B64282">
      <w:pPr>
        <w:pStyle w:val="blockquote"/>
      </w:pPr>
      <w:r>
        <w:t>[w]</w:t>
      </w:r>
      <w:proofErr w:type="spellStart"/>
      <w:r>
        <w:t>ith</w:t>
      </w:r>
      <w:proofErr w:type="spellEnd"/>
      <w:r>
        <w:t xml:space="preserve"> him we are returned to the first-stage state of nature and may use force against him. In so doing we do not violate his rights or in any other way violate the principle of right, because he has broken the </w:t>
      </w:r>
      <w:r>
        <w:rPr>
          <w:rStyle w:val="italic"/>
        </w:rPr>
        <w:t>reciprocity</w:t>
      </w:r>
      <w:r>
        <w:t xml:space="preserve"> required for us to view such a principle [of rights] as binding. In this we find the philosophic grounding for the moral legitimacy of the practice of punishment. Punishment is just that practice which raises the price of violation of the principle of right </w:t>
      </w:r>
      <w:proofErr w:type="gramStart"/>
      <w:r>
        <w:t>so as to</w:t>
      </w:r>
      <w:proofErr w:type="gramEnd"/>
      <w:r>
        <w:t xml:space="preserve"> give us all good reason to accept that principle.</w:t>
      </w:r>
      <w:r>
        <w:rPr>
          <w:rStyle w:val="FootnoteInTextNumber"/>
        </w:rPr>
        <w:footnoteReference w:id="91"/>
      </w:r>
      <w:r>
        <w:t xml:space="preserve"> </w:t>
      </w:r>
    </w:p>
    <w:p w14:paraId="32F45FE6" w14:textId="77777777" w:rsidR="00B64282" w:rsidRDefault="00B64282" w:rsidP="00B64282">
      <w:pPr>
        <w:pStyle w:val="FirstParagraph"/>
      </w:pPr>
      <w:r>
        <w:t>Or as Locke writes:</w:t>
      </w:r>
    </w:p>
    <w:p w14:paraId="640FC3D5" w14:textId="77777777" w:rsidR="00B64282" w:rsidRDefault="00B64282" w:rsidP="00B64282">
      <w:pPr>
        <w:pStyle w:val="blockquote"/>
      </w:pPr>
      <w:r>
        <w:t>In transgressing the law of nature, the offender declares himself to live by another rule than that of reason and common equity ... and so he becomes dangerous to mankind, ... every man ... by the right he hath to preserve mankind in general, may restrain, or where it is necessary, destroy things noxious to them, and so may bring such evil on any one, who hath transgressed that law, as may make him repent the doing of it. ... [A] criminal, who having renounced reason, the common rule and measure God hath given to mankind, hath, by the unjust violence and slaughter he hath committed upon one, declared war against all mankind, and therefore may be destroyed as a lion or a tiger, one of those wild savage beasts, with whom men can have no society nor security.</w:t>
      </w:r>
      <w:r>
        <w:rPr>
          <w:rStyle w:val="FootnoteInTextNumber"/>
        </w:rPr>
        <w:footnoteReference w:id="92"/>
      </w:r>
      <w:r>
        <w:t xml:space="preserve"> </w:t>
      </w:r>
    </w:p>
    <w:p w14:paraId="4BD8B4F2" w14:textId="77777777" w:rsidR="00B64282" w:rsidRDefault="00B64282" w:rsidP="00B64282">
      <w:pPr>
        <w:pStyle w:val="FirstParagraph"/>
      </w:pPr>
      <w:r>
        <w:t>Other quotes can be listed briefly here:</w:t>
      </w:r>
    </w:p>
    <w:p w14:paraId="53A27756" w14:textId="77777777" w:rsidR="00B64282" w:rsidRDefault="00B64282" w:rsidP="00B64282">
      <w:pPr>
        <w:pStyle w:val="body"/>
      </w:pPr>
      <w:r>
        <w:lastRenderedPageBreak/>
        <w:t xml:space="preserve">Tibor Machan: “[I]f someone attacks another, that act carries with it, as a matter of the logic of aggression, the implication that from a rational moral standpoint the victim may, and often should retaliate.” </w:t>
      </w:r>
      <w:r>
        <w:rPr>
          <w:rStyle w:val="FootnoteInTextNumber"/>
        </w:rPr>
        <w:footnoteReference w:id="93"/>
      </w:r>
      <w:r>
        <w:t xml:space="preserve"> </w:t>
      </w:r>
    </w:p>
    <w:p w14:paraId="1AC90CC4" w14:textId="77777777" w:rsidR="00B64282" w:rsidRDefault="00B64282" w:rsidP="00B64282">
      <w:pPr>
        <w:pStyle w:val="body"/>
      </w:pPr>
      <w:r>
        <w:t xml:space="preserve">Jan </w:t>
      </w:r>
      <w:proofErr w:type="spellStart"/>
      <w:r>
        <w:t>Narveson</w:t>
      </w:r>
      <w:proofErr w:type="spellEnd"/>
      <w:r>
        <w:t>: “[T]</w:t>
      </w:r>
      <w:proofErr w:type="spellStart"/>
      <w:r>
        <w:t>hose</w:t>
      </w:r>
      <w:proofErr w:type="spellEnd"/>
      <w:r>
        <w:t xml:space="preserve"> who do not want </w:t>
      </w:r>
      <w:proofErr w:type="gramStart"/>
      <w:r>
        <w:t>peace, or</w:t>
      </w:r>
      <w:proofErr w:type="gramEnd"/>
      <w:r>
        <w:t xml:space="preserve"> want it only for others in relation to themselves rather than vice versa, are on their own and may in principle be dealt with by any degree of violence we like.”</w:t>
      </w:r>
      <w:r>
        <w:rPr>
          <w:rStyle w:val="FootnoteInTextNumber"/>
        </w:rPr>
        <w:footnoteReference w:id="94"/>
      </w:r>
      <w:r>
        <w:t xml:space="preserve"> </w:t>
      </w:r>
    </w:p>
    <w:p w14:paraId="2DFB6B9C" w14:textId="6F4747D3" w:rsidR="00B64282" w:rsidRDefault="00B64282" w:rsidP="00B64282">
      <w:pPr>
        <w:pStyle w:val="body"/>
      </w:pPr>
      <w:r>
        <w:t xml:space="preserve"> Rasmussen &amp; Den </w:t>
      </w:r>
      <w:proofErr w:type="spellStart"/>
      <w:r>
        <w:t>Uyl</w:t>
      </w:r>
      <w:proofErr w:type="spellEnd"/>
      <w:r>
        <w:t>, “[W]</w:t>
      </w:r>
      <w:proofErr w:type="spellStart"/>
      <w:r>
        <w:t>hen</w:t>
      </w:r>
      <w:proofErr w:type="spellEnd"/>
      <w:r>
        <w:t xml:space="preserve"> someone is punished for having </w:t>
      </w:r>
      <w:r>
        <w:rPr>
          <w:spacing w:val="-1"/>
        </w:rPr>
        <w:t xml:space="preserve">violated others’ rights, it is not the case that the criminal has alienated </w:t>
      </w:r>
      <w:r>
        <w:t>or otherwise lost his rights; rather, it is the case that the criminal’s choice to live in a rights-violating way is being respected.”</w:t>
      </w:r>
      <w:r>
        <w:rPr>
          <w:rStyle w:val="FootnoteInTextNumber"/>
        </w:rPr>
        <w:footnoteReference w:id="95"/>
      </w:r>
      <w:r>
        <w:t xml:space="preserve"> </w:t>
      </w:r>
    </w:p>
    <w:p w14:paraId="3D58C2F3" w14:textId="77777777" w:rsidR="00B64282" w:rsidRDefault="00B64282" w:rsidP="00B64282">
      <w:pPr>
        <w:pStyle w:val="body"/>
        <w:rPr>
          <w:spacing w:val="-1"/>
        </w:rPr>
      </w:pPr>
      <w:r>
        <w:rPr>
          <w:spacing w:val="-1"/>
        </w:rPr>
        <w:t>Randy Barnett: “It has been noted that one who wishes to extinguish or convey an inalienable right may do so by committing the appropriate wrongful act and thereby forfeiting it.”</w:t>
      </w:r>
      <w:r>
        <w:rPr>
          <w:rStyle w:val="FootnoteInTextNumber"/>
          <w:spacing w:val="-1"/>
        </w:rPr>
        <w:footnoteReference w:id="96"/>
      </w:r>
      <w:r>
        <w:rPr>
          <w:spacing w:val="-1"/>
        </w:rPr>
        <w:t xml:space="preserve"> </w:t>
      </w:r>
    </w:p>
    <w:p w14:paraId="356D851E" w14:textId="2D8408F7" w:rsidR="00867903" w:rsidRPr="00B64282" w:rsidRDefault="00B64282" w:rsidP="00B64282">
      <w:pPr>
        <w:pStyle w:val="body"/>
      </w:pPr>
      <w:r w:rsidRPr="00B64282">
        <w:t>Others are collected at Kinsella, “Quotes on the Logic of Liberty.”</w:t>
      </w:r>
    </w:p>
    <w:sectPr w:rsidR="00867903" w:rsidRPr="00B64282" w:rsidSect="00D150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25898D" w14:textId="77777777" w:rsidR="00E27307" w:rsidRDefault="00E27307" w:rsidP="00B64282">
      <w:r>
        <w:separator/>
      </w:r>
    </w:p>
  </w:endnote>
  <w:endnote w:type="continuationSeparator" w:id="0">
    <w:p w14:paraId="7007BA54" w14:textId="77777777" w:rsidR="00E27307" w:rsidRDefault="00E27307" w:rsidP="00B64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dobe Caslon Pro">
    <w:panose1 w:val="0205050205050A020403"/>
    <w:charset w:val="4D"/>
    <w:family w:val="roman"/>
    <w:notTrueType/>
    <w:pitch w:val="variable"/>
    <w:sig w:usb0="00000007" w:usb1="00000001" w:usb2="00000000" w:usb3="00000000" w:csb0="00000093"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Bold">
    <w:panose1 w:val="0205070206050A020403"/>
    <w:charset w:val="4D"/>
    <w:family w:val="roman"/>
    <w:notTrueType/>
    <w:pitch w:val="variable"/>
    <w:sig w:usb0="00000007" w:usb1="00000001" w:usb2="00000000" w:usb3="00000000" w:csb0="00000093"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w:panose1 w:val="020A0402070306020403"/>
    <w:charset w:val="00"/>
    <w:family w:val="roman"/>
    <w:notTrueType/>
    <w:pitch w:val="variable"/>
    <w:sig w:usb0="800000AF" w:usb1="5000204A" w:usb2="00000000" w:usb3="00000000" w:csb0="0000008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0BCC13" w14:textId="77777777" w:rsidR="00E27307" w:rsidRDefault="00E27307" w:rsidP="00B64282">
      <w:r>
        <w:separator/>
      </w:r>
    </w:p>
  </w:footnote>
  <w:footnote w:type="continuationSeparator" w:id="0">
    <w:p w14:paraId="1D816833" w14:textId="77777777" w:rsidR="00E27307" w:rsidRDefault="00E27307" w:rsidP="00B64282">
      <w:r>
        <w:continuationSeparator/>
      </w:r>
    </w:p>
  </w:footnote>
  <w:footnote w:id="1">
    <w:p w14:paraId="04BF7CB0" w14:textId="77777777" w:rsidR="00B64282" w:rsidRDefault="00B64282" w:rsidP="00B64282">
      <w:pPr>
        <w:pStyle w:val="Footnotes"/>
      </w:pPr>
      <w:r>
        <w:rPr>
          <w:vertAlign w:val="superscript"/>
        </w:rPr>
        <w:footnoteRef/>
      </w:r>
      <w:r>
        <w:t> </w:t>
      </w:r>
      <w:r>
        <w:t xml:space="preserve">Barry Nicholas, </w:t>
      </w:r>
      <w:r>
        <w:rPr>
          <w:rStyle w:val="HyperlinkitalicsFootnotes"/>
          <w:spacing w:val="-2"/>
        </w:rPr>
        <w:t>An Introduction to Roman Law</w:t>
      </w:r>
      <w:r>
        <w:t xml:space="preserve">, rev. ed (Oxford: Oxford University Press, 1962), p. 30 n.2 (quoting </w:t>
      </w:r>
      <w:proofErr w:type="spellStart"/>
      <w:r>
        <w:t>Papinian</w:t>
      </w:r>
      <w:proofErr w:type="spellEnd"/>
      <w:r>
        <w:t xml:space="preserve"> (</w:t>
      </w:r>
      <w:proofErr w:type="spellStart"/>
      <w:r>
        <w:t>Aemilius</w:t>
      </w:r>
      <w:proofErr w:type="spellEnd"/>
      <w:r>
        <w:t xml:space="preserve"> </w:t>
      </w:r>
      <w:proofErr w:type="spellStart"/>
      <w:r>
        <w:t>Papinianus</w:t>
      </w:r>
      <w:proofErr w:type="spellEnd"/>
      <w:r>
        <w:t xml:space="preserve">)). </w:t>
      </w:r>
      <w:proofErr w:type="spellStart"/>
      <w:r>
        <w:t>Papinian</w:t>
      </w:r>
      <w:proofErr w:type="spellEnd"/>
      <w:r>
        <w:t>, a third-century Roman jurist, is considered by many to be the greatest of Roman jurists. “</w:t>
      </w:r>
      <w:proofErr w:type="spellStart"/>
      <w:r>
        <w:t>Papinian</w:t>
      </w:r>
      <w:proofErr w:type="spellEnd"/>
      <w:r>
        <w:t xml:space="preserve"> is said to have been put to death for refusing to compose a justification of Caracalla’s murder of his </w:t>
      </w:r>
      <w:r>
        <w:rPr>
          <w:spacing w:val="-2"/>
        </w:rPr>
        <w:t>brother and co-Emperor, Geta, declaring, so the story goes, that ‘it is easier to commit murder</w:t>
      </w:r>
      <w:r>
        <w:t xml:space="preserve"> than to justify it.”‘ Ibid. For further references and discussion of this story, see Edward D. Re, “The Roman Contribution to the Common Law,” </w:t>
      </w:r>
      <w:r>
        <w:rPr>
          <w:rStyle w:val="italic"/>
        </w:rPr>
        <w:t>Fordham L. Rev.</w:t>
      </w:r>
      <w:r>
        <w:t xml:space="preserve"> 29, no. 3 (1960; </w:t>
      </w:r>
      <w:r>
        <w:rPr>
          <w:rStyle w:val="Hyperlink"/>
        </w:rPr>
        <w:t>https://ir.lawnet.fordham.edu/flr/vol29/iss3/2/</w:t>
      </w:r>
      <w:r>
        <w:t>): 447–94, at 452 n.21.</w:t>
      </w:r>
    </w:p>
    <w:p w14:paraId="411F2EA0" w14:textId="77777777" w:rsidR="00B64282" w:rsidRDefault="00B64282" w:rsidP="00B64282">
      <w:pPr>
        <w:pStyle w:val="Footnotes"/>
      </w:pPr>
    </w:p>
  </w:footnote>
  <w:footnote w:id="2">
    <w:p w14:paraId="644C7CED" w14:textId="77777777" w:rsidR="00B64282" w:rsidRDefault="00B64282" w:rsidP="00B64282">
      <w:pPr>
        <w:pStyle w:val="Footnotes"/>
        <w:rPr>
          <w:spacing w:val="3"/>
        </w:rPr>
      </w:pPr>
      <w:r>
        <w:rPr>
          <w:vertAlign w:val="superscript"/>
        </w:rPr>
        <w:footnoteRef/>
      </w:r>
      <w:r>
        <w:t> </w:t>
      </w:r>
      <w:r>
        <w:rPr>
          <w:spacing w:val="3"/>
        </w:rPr>
        <w:t xml:space="preserve">See H.L.A. Hart, </w:t>
      </w:r>
      <w:r>
        <w:rPr>
          <w:rStyle w:val="italic"/>
          <w:spacing w:val="3"/>
        </w:rPr>
        <w:t xml:space="preserve">Punishment and Responsibility: Essays in the Philosophy of Law </w:t>
      </w:r>
      <w:r>
        <w:rPr>
          <w:spacing w:val="3"/>
        </w:rPr>
        <w:t>(Oxford: Oxford University Press, 1968), p. 73, discussing various reasons why people engage in punishment.</w:t>
      </w:r>
    </w:p>
    <w:p w14:paraId="656170E7" w14:textId="77777777" w:rsidR="00B64282" w:rsidRDefault="00B64282" w:rsidP="00B64282">
      <w:pPr>
        <w:pStyle w:val="Footnotes"/>
      </w:pPr>
    </w:p>
  </w:footnote>
  <w:footnote w:id="3">
    <w:p w14:paraId="663541D4" w14:textId="77777777" w:rsidR="00B64282" w:rsidRDefault="00B64282" w:rsidP="00B64282">
      <w:pPr>
        <w:pStyle w:val="Footnotes"/>
        <w:rPr>
          <w:spacing w:val="2"/>
        </w:rPr>
      </w:pPr>
      <w:r>
        <w:rPr>
          <w:vertAlign w:val="superscript"/>
        </w:rPr>
        <w:footnoteRef/>
      </w:r>
      <w:r>
        <w:rPr>
          <w:spacing w:val="2"/>
        </w:rPr>
        <w:t> </w:t>
      </w:r>
      <w:r>
        <w:rPr>
          <w:spacing w:val="2"/>
        </w:rPr>
        <w:t xml:space="preserve">The distinction between the effects or utility of punishment and the reason we have a right to punish has long been recognized. See, e.g., William Blackstone, </w:t>
      </w:r>
      <w:r>
        <w:rPr>
          <w:rStyle w:val="italic"/>
          <w:spacing w:val="2"/>
        </w:rPr>
        <w:t>Commentaries on the Laws of England</w:t>
      </w:r>
      <w:r>
        <w:rPr>
          <w:spacing w:val="2"/>
        </w:rPr>
        <w:t xml:space="preserve"> (Oxford Edition, Wilfrid Prest, General Editor, 2016), bk 4, chap. 1, at pp. *7-*13 (Oxford edition pp. 4-8); F.H. Bradley, </w:t>
      </w:r>
      <w:r>
        <w:rPr>
          <w:rStyle w:val="italic"/>
          <w:spacing w:val="2"/>
        </w:rPr>
        <w:t>Ethical Studies</w:t>
      </w:r>
      <w:r>
        <w:rPr>
          <w:spacing w:val="2"/>
        </w:rPr>
        <w:t xml:space="preserve">, 2d ed. (Oxford: Clarendon Press, 1927), pp. 26–27; Hart, </w:t>
      </w:r>
      <w:r>
        <w:rPr>
          <w:rStyle w:val="italic"/>
          <w:spacing w:val="2"/>
        </w:rPr>
        <w:t>Punishment and Responsibility</w:t>
      </w:r>
      <w:r>
        <w:rPr>
          <w:spacing w:val="2"/>
        </w:rPr>
        <w:t>, pp. 73–74.</w:t>
      </w:r>
    </w:p>
    <w:p w14:paraId="242B6225" w14:textId="77777777" w:rsidR="00B64282" w:rsidRDefault="00B64282" w:rsidP="00B64282">
      <w:pPr>
        <w:pStyle w:val="Footnotes"/>
      </w:pPr>
    </w:p>
  </w:footnote>
  <w:footnote w:id="4">
    <w:p w14:paraId="2F60F025" w14:textId="235B65F2" w:rsidR="00B64282" w:rsidRDefault="00B64282" w:rsidP="00B64282">
      <w:pPr>
        <w:pStyle w:val="Footnotes"/>
      </w:pPr>
      <w:r>
        <w:rPr>
          <w:vertAlign w:val="superscript"/>
        </w:rPr>
        <w:footnoteRef/>
      </w:r>
      <w:r>
        <w:t> </w:t>
      </w:r>
      <w:r>
        <w:t>Murray N. Rothbard, “</w:t>
      </w:r>
      <w:r>
        <w:rPr>
          <w:rStyle w:val="Hyperlink"/>
        </w:rPr>
        <w:t>Punishment and Proportionality</w:t>
      </w:r>
      <w:r>
        <w:t xml:space="preserve">,” in </w:t>
      </w:r>
      <w:r>
        <w:rPr>
          <w:rStyle w:val="italic"/>
        </w:rPr>
        <w:t>The Ethics of Liberty</w:t>
      </w:r>
      <w:r>
        <w:t xml:space="preserve"> (New York: New York University Press, 1998; </w:t>
      </w:r>
      <w:r>
        <w:rPr>
          <w:rStyle w:val="Hyperlink"/>
        </w:rPr>
        <w:t>https://mises.org/library/punishment-and-</w:t>
      </w:r>
      <w:r>
        <w:rPr>
          <w:rStyle w:val="Hyperlink"/>
          <w:spacing w:val="-2"/>
        </w:rPr>
        <w:t>proportionality-0</w:t>
      </w:r>
      <w:r>
        <w:rPr>
          <w:spacing w:val="-2"/>
        </w:rPr>
        <w:t>), at p. 85 (“Few aspects of libertarian political theory are in a less satisfactory</w:t>
      </w:r>
      <w:r>
        <w:t xml:space="preserve"> state than the theory of punishment.… It must be noted, however, that </w:t>
      </w:r>
      <w:r>
        <w:rPr>
          <w:rStyle w:val="italic"/>
        </w:rPr>
        <w:t>all</w:t>
      </w:r>
      <w:r>
        <w:t xml:space="preserve"> legal systems, whether libertarian or not, must work out some theory of punishment, and that existing systems are in </w:t>
      </w:r>
      <w:r>
        <w:rPr>
          <w:rStyle w:val="italic"/>
        </w:rPr>
        <w:t>at least</w:t>
      </w:r>
      <w:r>
        <w:t xml:space="preserve"> as unsatisfactory a state as punishment in libertarian theory.”). This chapter appeared in substantially the same form in “Punishment and Proportionality,” in Randy E. Barnett &amp; John Hagel III, eds., </w:t>
      </w:r>
      <w:r>
        <w:rPr>
          <w:rStyle w:val="italic"/>
        </w:rPr>
        <w:t>Assessing the Criminal: Restitution, Retribution, And the Legal Process</w:t>
      </w:r>
      <w:r>
        <w:t xml:space="preserve"> (Cambridge, Mass.: Ballinger, 1977), chap. 11, pp. 259–70. </w:t>
      </w:r>
      <w:r>
        <w:rPr>
          <w:rStyle w:val="italic"/>
        </w:rPr>
        <w:t xml:space="preserve">See also </w:t>
      </w:r>
      <w:r>
        <w:t>Rothbard’s article “</w:t>
      </w:r>
      <w:r>
        <w:rPr>
          <w:rStyle w:val="Hyperlink"/>
        </w:rPr>
        <w:t>King on Punishment: A Comment</w:t>
      </w:r>
      <w:r>
        <w:t xml:space="preserve">,” </w:t>
      </w:r>
      <w:r>
        <w:rPr>
          <w:rStyle w:val="italic"/>
        </w:rPr>
        <w:t xml:space="preserve">J. Libertarian Stud. </w:t>
      </w:r>
      <w:r>
        <w:t xml:space="preserve">4, no. 2 (Spring 1980; </w:t>
      </w:r>
      <w:r>
        <w:rPr>
          <w:rStyle w:val="Hyperlink"/>
        </w:rPr>
        <w:t>https://mises.org/library/king-punishment-comment-1</w:t>
      </w:r>
      <w:r>
        <w:t>): 167–72 (commenting on J. Charles King, “</w:t>
      </w:r>
      <w:r>
        <w:rPr>
          <w:rStyle w:val="Hyperlink"/>
        </w:rPr>
        <w:t>A Rationale for Punishment</w:t>
      </w:r>
      <w:r>
        <w:t xml:space="preserve">,” </w:t>
      </w:r>
      <w:r>
        <w:rPr>
          <w:rStyle w:val="italic"/>
        </w:rPr>
        <w:t>J. Libertarian Stud.</w:t>
      </w:r>
      <w:r>
        <w:t xml:space="preserve"> 4, no. 2 (Spring 1980; </w:t>
      </w:r>
      <w:r>
        <w:rPr>
          <w:rStyle w:val="Hyperlink"/>
        </w:rPr>
        <w:t>https://mises.org/library/rationale-punishment-0</w:t>
      </w:r>
      <w:r>
        <w:t xml:space="preserve">): 151–65). For additional discussion of various punishment-related theories, see Robert James </w:t>
      </w:r>
      <w:proofErr w:type="spellStart"/>
      <w:r>
        <w:t>Bidinotto</w:t>
      </w:r>
      <w:proofErr w:type="spellEnd"/>
      <w:r>
        <w:t xml:space="preserve">, ed., </w:t>
      </w:r>
      <w:r>
        <w:rPr>
          <w:rStyle w:val="HyperlinkitalicsFootnotes"/>
          <w:spacing w:val="-2"/>
        </w:rPr>
        <w:t>Criminal Justice? The Legal System Vs. Individual Responsibility</w:t>
      </w:r>
      <w:r>
        <w:t xml:space="preserve"> (Irvington-on-Hudson, New York: Foundation for Economic Education, Inc., 1994; </w:t>
      </w:r>
      <w:r>
        <w:rPr>
          <w:rStyle w:val="Hyperlink"/>
        </w:rPr>
        <w:t>https://perma.cc/KW2G-4JF5</w:t>
      </w:r>
      <w:r>
        <w:t xml:space="preserve">); Gertrude </w:t>
      </w:r>
      <w:proofErr w:type="spellStart"/>
      <w:r>
        <w:t>Ezorsky</w:t>
      </w:r>
      <w:proofErr w:type="spellEnd"/>
      <w:r>
        <w:t xml:space="preserve">, ed., </w:t>
      </w:r>
      <w:r>
        <w:rPr>
          <w:rStyle w:val="italic"/>
        </w:rPr>
        <w:t>Philosophical Perspectives on Punishment</w:t>
      </w:r>
      <w:r>
        <w:t xml:space="preserve"> (Albany: State University of New York Press, 1972); Stanley E. Grupp, ed., </w:t>
      </w:r>
      <w:r>
        <w:rPr>
          <w:rStyle w:val="italic"/>
        </w:rPr>
        <w:t>Theories of Punishment</w:t>
      </w:r>
      <w:r>
        <w:t xml:space="preserve"> (Bloomington: Indiana University Press, 1971); and Hart, </w:t>
      </w:r>
      <w:r>
        <w:rPr>
          <w:rStyle w:val="italic"/>
        </w:rPr>
        <w:t>Punishment and Responsibility</w:t>
      </w:r>
      <w:r>
        <w:t>.</w:t>
      </w:r>
    </w:p>
    <w:p w14:paraId="34E998F4" w14:textId="77777777" w:rsidR="00B64282" w:rsidRDefault="00B64282" w:rsidP="00B64282">
      <w:pPr>
        <w:pStyle w:val="Footnotes"/>
      </w:pPr>
    </w:p>
  </w:footnote>
  <w:footnote w:id="5">
    <w:p w14:paraId="009D967F" w14:textId="77777777" w:rsidR="00B64282" w:rsidRDefault="00B64282" w:rsidP="00B64282">
      <w:pPr>
        <w:pStyle w:val="Footnotes"/>
      </w:pPr>
      <w:r>
        <w:rPr>
          <w:vertAlign w:val="superscript"/>
        </w:rPr>
        <w:footnoteRef/>
      </w:r>
      <w:r>
        <w:t> </w:t>
      </w:r>
      <w:r>
        <w:t>This includes both prevention and incapacitation.</w:t>
      </w:r>
    </w:p>
    <w:p w14:paraId="38A32F0C" w14:textId="77777777" w:rsidR="00B64282" w:rsidRDefault="00B64282" w:rsidP="00B64282">
      <w:pPr>
        <w:pStyle w:val="Footnotes"/>
      </w:pPr>
    </w:p>
  </w:footnote>
  <w:footnote w:id="6">
    <w:p w14:paraId="6750BFF1" w14:textId="77777777" w:rsidR="00B64282" w:rsidRDefault="00B64282" w:rsidP="00B64282">
      <w:pPr>
        <w:pStyle w:val="Footnotes"/>
      </w:pPr>
      <w:r>
        <w:rPr>
          <w:vertAlign w:val="superscript"/>
        </w:rPr>
        <w:footnoteRef/>
      </w:r>
      <w:r>
        <w:t> </w:t>
      </w:r>
      <w:r>
        <w:t xml:space="preserve">Rehabilitation is also sometimes referred to as reform. For discussion of various punishment-related theories, see Barnett &amp; Hagel III, eds., </w:t>
      </w:r>
      <w:r>
        <w:rPr>
          <w:rStyle w:val="italic"/>
        </w:rPr>
        <w:t>Assessing the Criminal</w:t>
      </w:r>
      <w:r>
        <w:t xml:space="preserve">; Robert James </w:t>
      </w:r>
      <w:proofErr w:type="spellStart"/>
      <w:r>
        <w:t>Bidinotto</w:t>
      </w:r>
      <w:proofErr w:type="spellEnd"/>
      <w:r>
        <w:t xml:space="preserve">, “Crime and Moral Retribution,” in </w:t>
      </w:r>
      <w:r>
        <w:rPr>
          <w:rStyle w:val="italic"/>
        </w:rPr>
        <w:t>Criminal Justice?</w:t>
      </w:r>
      <w:r>
        <w:t xml:space="preserve">, pp. 181–86, discussing various utilitarian strategies of crime control and punishment; Hart, </w:t>
      </w:r>
      <w:r>
        <w:rPr>
          <w:rStyle w:val="italic"/>
        </w:rPr>
        <w:t>Punishment and Responsibility</w:t>
      </w:r>
      <w:r>
        <w:t xml:space="preserve">; </w:t>
      </w:r>
      <w:proofErr w:type="spellStart"/>
      <w:r>
        <w:t>Ezorsky</w:t>
      </w:r>
      <w:proofErr w:type="spellEnd"/>
      <w:r>
        <w:t xml:space="preserve">, ed., </w:t>
      </w:r>
      <w:r>
        <w:rPr>
          <w:rStyle w:val="italic"/>
        </w:rPr>
        <w:t>Philosophical Perspectives on Punishment</w:t>
      </w:r>
      <w:r>
        <w:t xml:space="preserve">; Grupp, ed., </w:t>
      </w:r>
      <w:r>
        <w:rPr>
          <w:rStyle w:val="italic"/>
        </w:rPr>
        <w:t>Theories of Punishment</w:t>
      </w:r>
      <w:r>
        <w:t>; Matthew A. Pauley, “</w:t>
      </w:r>
      <w:r>
        <w:rPr>
          <w:rStyle w:val="Hyperlink"/>
        </w:rPr>
        <w:t>The Jurisprudence of Crime and Punishment from Plato to Hegel</w:t>
      </w:r>
      <w:r>
        <w:t xml:space="preserve">,” </w:t>
      </w:r>
      <w:r>
        <w:rPr>
          <w:rStyle w:val="italic"/>
        </w:rPr>
        <w:t>Am. J. Jurisprudence</w:t>
      </w:r>
      <w:r>
        <w:t xml:space="preserve"> 39, no. 1 (1994; </w:t>
      </w:r>
      <w:r>
        <w:rPr>
          <w:rStyle w:val="Hyperlink"/>
        </w:rPr>
        <w:t>https://scholarship.law.nd.edu/ajj/vol39/iss1/6/</w:t>
      </w:r>
      <w:r>
        <w:rPr>
          <w:spacing w:val="-1"/>
        </w:rPr>
        <w:t xml:space="preserve">): 97–152; and Ronald J. </w:t>
      </w:r>
      <w:proofErr w:type="spellStart"/>
      <w:r>
        <w:rPr>
          <w:spacing w:val="-1"/>
        </w:rPr>
        <w:t>Rychlak</w:t>
      </w:r>
      <w:proofErr w:type="spellEnd"/>
      <w:r>
        <w:rPr>
          <w:spacing w:val="-1"/>
        </w:rPr>
        <w:t>, “Society’s Moral Right to Punish: A Further</w:t>
      </w:r>
      <w:r>
        <w:t xml:space="preserve"> Exploration of the Denunciation Theory of Punishment,” </w:t>
      </w:r>
      <w:proofErr w:type="spellStart"/>
      <w:r>
        <w:rPr>
          <w:rStyle w:val="italic"/>
        </w:rPr>
        <w:t>Tul</w:t>
      </w:r>
      <w:proofErr w:type="spellEnd"/>
      <w:r>
        <w:rPr>
          <w:rStyle w:val="italic"/>
        </w:rPr>
        <w:t>. L. Rev.</w:t>
      </w:r>
      <w:r>
        <w:t xml:space="preserve"> 65, no. 2 (1990): 299–338, at pp. 308–31.</w:t>
      </w:r>
    </w:p>
    <w:p w14:paraId="1FE06B07" w14:textId="77777777" w:rsidR="00B64282" w:rsidRDefault="00B64282" w:rsidP="00B64282">
      <w:pPr>
        <w:pStyle w:val="Footnotes"/>
      </w:pPr>
    </w:p>
  </w:footnote>
  <w:footnote w:id="7">
    <w:p w14:paraId="7F76A349" w14:textId="77777777" w:rsidR="00B64282" w:rsidRDefault="00B64282" w:rsidP="00B64282">
      <w:pPr>
        <w:pStyle w:val="Footnotes"/>
        <w:rPr>
          <w:spacing w:val="-1"/>
        </w:rPr>
      </w:pPr>
      <w:r>
        <w:rPr>
          <w:vertAlign w:val="superscript"/>
        </w:rPr>
        <w:footnoteRef/>
      </w:r>
      <w:r>
        <w:rPr>
          <w:spacing w:val="-1"/>
        </w:rPr>
        <w:t> </w:t>
      </w:r>
      <w:r>
        <w:rPr>
          <w:spacing w:val="-1"/>
        </w:rPr>
        <w:t xml:space="preserve">See, e.g., </w:t>
      </w:r>
      <w:r>
        <w:rPr>
          <w:rStyle w:val="italic"/>
          <w:spacing w:val="-1"/>
        </w:rPr>
        <w:t>Mills v. Alabama</w:t>
      </w:r>
      <w:r>
        <w:rPr>
          <w:spacing w:val="-1"/>
        </w:rPr>
        <w:t xml:space="preserve">, 384 U.S. 214 (1966), p. 218: “[T]here is practically universal agreement that a major purpose of [the First] Amendment was to protect the free discussion of governmental affairs”; </w:t>
      </w:r>
      <w:r>
        <w:rPr>
          <w:rStyle w:val="italic"/>
          <w:spacing w:val="-1"/>
        </w:rPr>
        <w:t>Roth v. United States</w:t>
      </w:r>
      <w:r>
        <w:rPr>
          <w:spacing w:val="-1"/>
        </w:rPr>
        <w:t xml:space="preserve">, 354 U.S. 47 (1957), p. 484, stating that a purpose of the right to free speech is “to assure unfettered interchange of ideas for the bringing about of political and social changes desired by the people”; John Hart Ely, </w:t>
      </w:r>
      <w:r>
        <w:rPr>
          <w:rStyle w:val="italic"/>
          <w:spacing w:val="-1"/>
        </w:rPr>
        <w:t>Democracy and Distrust: A Theory of Judicial Review</w:t>
      </w:r>
      <w:r>
        <w:rPr>
          <w:spacing w:val="-1"/>
        </w:rPr>
        <w:t xml:space="preserve"> (Cambridge, Mass.: Harvard University Press, 1980), p. 112, stating that the “central function” of the First Amendment is to “</w:t>
      </w:r>
      <w:proofErr w:type="spellStart"/>
      <w:r>
        <w:rPr>
          <w:spacing w:val="-1"/>
        </w:rPr>
        <w:t>assur</w:t>
      </w:r>
      <w:proofErr w:type="spellEnd"/>
      <w:r>
        <w:rPr>
          <w:spacing w:val="-1"/>
        </w:rPr>
        <w:t xml:space="preserve">[e] an open political dialogue and process”; see also Ronald D. Rotunda &amp; John E. Nowak, </w:t>
      </w:r>
      <w:r>
        <w:rPr>
          <w:rStyle w:val="italic"/>
          <w:spacing w:val="-1"/>
        </w:rPr>
        <w:t>Treatise on Constitutional Law: Substance and Procedure</w:t>
      </w:r>
      <w:r>
        <w:rPr>
          <w:spacing w:val="-1"/>
        </w:rPr>
        <w:t xml:space="preserve">, vol. 4, 2d ed. (St. Paul, Minn.: West Publishing, 1992), §§ 20.6 &amp; 20.30, discussing various defenses of freedom of speech and reasons for providing a lower standard of constitutional protection to “commercial speech” than to normal speech. </w:t>
      </w:r>
      <w:r>
        <w:rPr>
          <w:rStyle w:val="italic"/>
          <w:spacing w:val="-1"/>
        </w:rPr>
        <w:t>See also</w:t>
      </w:r>
      <w:r>
        <w:rPr>
          <w:spacing w:val="-1"/>
        </w:rPr>
        <w:t xml:space="preserve"> the entry “</w:t>
      </w:r>
      <w:r>
        <w:rPr>
          <w:rStyle w:val="Hyperlink"/>
          <w:spacing w:val="-1"/>
        </w:rPr>
        <w:t>Case Categories: Commercial Speech</w:t>
      </w:r>
      <w:r>
        <w:rPr>
          <w:spacing w:val="-1"/>
        </w:rPr>
        <w:t xml:space="preserve">,” </w:t>
      </w:r>
      <w:r>
        <w:rPr>
          <w:rStyle w:val="italic"/>
          <w:spacing w:val="-1"/>
        </w:rPr>
        <w:t>The First Amendment Encyclopedia</w:t>
      </w:r>
      <w:r>
        <w:rPr>
          <w:spacing w:val="-1"/>
        </w:rPr>
        <w:t xml:space="preserve"> (</w:t>
      </w:r>
      <w:r>
        <w:rPr>
          <w:rStyle w:val="Hyperlink"/>
          <w:spacing w:val="-1"/>
        </w:rPr>
        <w:t>https://perma.cc/QY39-K9NP</w:t>
      </w:r>
      <w:r>
        <w:rPr>
          <w:spacing w:val="-1"/>
        </w:rPr>
        <w:t>).</w:t>
      </w:r>
    </w:p>
    <w:p w14:paraId="05632D1F" w14:textId="77777777" w:rsidR="00B64282" w:rsidRDefault="00B64282" w:rsidP="00B64282">
      <w:pPr>
        <w:pStyle w:val="Footnotes"/>
      </w:pPr>
    </w:p>
  </w:footnote>
  <w:footnote w:id="8">
    <w:p w14:paraId="48C6ACA4" w14:textId="77777777" w:rsidR="00B64282" w:rsidRDefault="00B64282" w:rsidP="00B64282">
      <w:pPr>
        <w:pStyle w:val="Footnotes"/>
      </w:pPr>
      <w:r>
        <w:rPr>
          <w:vertAlign w:val="superscript"/>
        </w:rPr>
        <w:footnoteRef/>
      </w:r>
      <w:r>
        <w:t> </w:t>
      </w:r>
      <w:r>
        <w:t xml:space="preserve">We do not even have a direct or independent right to free speech. The right to free speech is merely shorthand for one positive result of the right to own private property: If I am situated on property (resources) I have a right to be on, for example in my home, </w:t>
      </w:r>
      <w:r>
        <w:br/>
        <w:t xml:space="preserve">I am entitled to do </w:t>
      </w:r>
      <w:r>
        <w:rPr>
          <w:rStyle w:val="italic"/>
        </w:rPr>
        <w:t>anything</w:t>
      </w:r>
      <w:r>
        <w:t xml:space="preserve"> on or with that resource (property) that does not invade others’ rights, whether it be skeet shooting, barbecuing, or communicating with others. Thus, the right to free speech is only indirect and does not in turn justify property rights, which are logically at the base of the right to free speech. See Rothbard, “‘</w:t>
      </w:r>
      <w:r>
        <w:rPr>
          <w:rStyle w:val="Hyperlink"/>
        </w:rPr>
        <w:t>Human Rights’ as Property Rights</w:t>
      </w:r>
      <w:r>
        <w:t xml:space="preserve">,” in </w:t>
      </w:r>
      <w:r>
        <w:rPr>
          <w:rStyle w:val="italic"/>
        </w:rPr>
        <w:t>The Ethics of Liberty</w:t>
      </w:r>
      <w:r>
        <w:t xml:space="preserve"> (</w:t>
      </w:r>
      <w:r>
        <w:rPr>
          <w:rStyle w:val="Hyperlink"/>
        </w:rPr>
        <w:t>https://mises.org/library/human-rights-property-rights</w:t>
      </w:r>
      <w:r>
        <w:t xml:space="preserve">), pp. 113–17; Murray N. Rothbard, </w:t>
      </w:r>
      <w:proofErr w:type="gramStart"/>
      <w:r>
        <w:rPr>
          <w:rStyle w:val="HyperlinkitalicsFootnotes"/>
          <w:spacing w:val="-2"/>
        </w:rPr>
        <w:t>For</w:t>
      </w:r>
      <w:proofErr w:type="gramEnd"/>
      <w:r>
        <w:rPr>
          <w:rStyle w:val="HyperlinkitalicsFootnotes"/>
          <w:spacing w:val="-2"/>
        </w:rPr>
        <w:t xml:space="preserve"> a New Liberty: The Libertarian Manifesto</w:t>
      </w:r>
      <w:r>
        <w:t xml:space="preserve">, rev. ed. (New York: Libertarian Review Foundation, 1985; </w:t>
      </w:r>
      <w:r>
        <w:rPr>
          <w:rStyle w:val="Hyperlink"/>
        </w:rPr>
        <w:t>https://mises.org/library/new-liberty-</w:t>
      </w:r>
      <w:r>
        <w:rPr>
          <w:rStyle w:val="Hyperlink"/>
        </w:rPr>
        <w:br/>
        <w:t>libertarian-manifesto</w:t>
      </w:r>
      <w:r>
        <w:t>), pp. 42–44, discussing the relation between free speech rights and property rights. In like manner, if there is a right to punish, there is only indirectly a “right” to deter crime, and any indirect right to deter, rehabilitate, or retaliate, which is based on the right to punish, can hardly justify or limit the logically prior right to punish.</w:t>
      </w:r>
    </w:p>
    <w:p w14:paraId="08D9FA21" w14:textId="77777777" w:rsidR="00B64282" w:rsidRDefault="00B64282" w:rsidP="00B64282">
      <w:pPr>
        <w:pStyle w:val="Footnotes"/>
      </w:pPr>
      <w:r>
        <w:t>Technically speaking, a property right is not a right to control a resource but a right to exclude others from using the resource. But this distinction is not material here. See “</w:t>
      </w:r>
      <w:r>
        <w:rPr>
          <w:rStyle w:val="italic"/>
        </w:rPr>
        <w:t>Against Intellectual Property</w:t>
      </w:r>
      <w:r>
        <w:t xml:space="preserve"> After Twenty Years: Looking Back and Looking Forward” (</w:t>
      </w:r>
      <w:proofErr w:type="spellStart"/>
      <w:r>
        <w:t>ch.</w:t>
      </w:r>
      <w:proofErr w:type="spellEnd"/>
      <w:r>
        <w:t xml:space="preserve"> 15), n.62 and Part IV.H, </w:t>
      </w:r>
      <w:r>
        <w:rPr>
          <w:rStyle w:val="italic"/>
        </w:rPr>
        <w:t>et pass</w:t>
      </w:r>
      <w:r>
        <w:t>. See also Stephan Kinsella, “</w:t>
      </w:r>
      <w:r>
        <w:rPr>
          <w:rStyle w:val="Hyperlink"/>
        </w:rPr>
        <w:t xml:space="preserve">The Non-Aggression Principle </w:t>
      </w:r>
      <w:r>
        <w:rPr>
          <w:rStyle w:val="Hyperlink"/>
          <w:spacing w:val="-2"/>
        </w:rPr>
        <w:t>as a Limit on Action, Not on Property Rights</w:t>
      </w:r>
      <w:r>
        <w:rPr>
          <w:spacing w:val="-2"/>
        </w:rPr>
        <w:t xml:space="preserve">,” </w:t>
      </w:r>
      <w:r>
        <w:rPr>
          <w:rStyle w:val="italic"/>
          <w:spacing w:val="-2"/>
        </w:rPr>
        <w:t>StephanKinsella.com</w:t>
      </w:r>
      <w:r>
        <w:rPr>
          <w:spacing w:val="-2"/>
        </w:rPr>
        <w:t xml:space="preserve"> (Jan. 22, 2010) and </w:t>
      </w:r>
      <w:r>
        <w:rPr>
          <w:rStyle w:val="italic"/>
          <w:spacing w:val="-2"/>
        </w:rPr>
        <w:t>idem</w:t>
      </w:r>
      <w:r>
        <w:rPr>
          <w:spacing w:val="-2"/>
        </w:rPr>
        <w:t>, “</w:t>
      </w:r>
      <w:r>
        <w:rPr>
          <w:rStyle w:val="Hyperlink"/>
          <w:spacing w:val="-2"/>
        </w:rPr>
        <w:t>IP and Aggression as Limits on Property Rights: How They Differ</w:t>
      </w:r>
      <w:r>
        <w:rPr>
          <w:spacing w:val="-2"/>
        </w:rPr>
        <w:t xml:space="preserve">,” </w:t>
      </w:r>
      <w:r>
        <w:rPr>
          <w:rStyle w:val="italic"/>
          <w:spacing w:val="-2"/>
        </w:rPr>
        <w:t>StephanKinsella.com</w:t>
      </w:r>
      <w:r>
        <w:rPr>
          <w:spacing w:val="-2"/>
        </w:rPr>
        <w:t xml:space="preserve"> </w:t>
      </w:r>
      <w:r>
        <w:t>(Jan. 22, 2010); and “What Libertarianism Is” (</w:t>
      </w:r>
      <w:proofErr w:type="spellStart"/>
      <w:r>
        <w:t>ch.</w:t>
      </w:r>
      <w:proofErr w:type="spellEnd"/>
      <w:r>
        <w:t xml:space="preserve"> 2), at n.2 and accompanying text.</w:t>
      </w:r>
    </w:p>
    <w:p w14:paraId="2D5D82B4" w14:textId="77777777" w:rsidR="00B64282" w:rsidRDefault="00B64282" w:rsidP="00B64282">
      <w:pPr>
        <w:pStyle w:val="Footnotes"/>
      </w:pPr>
      <w:r>
        <w:t>Regarding the use of the term “property” to refer to a resource, see “</w:t>
      </w:r>
      <w:r>
        <w:rPr>
          <w:rStyle w:val="italic"/>
        </w:rPr>
        <w:t>Against Intellectual Property</w:t>
      </w:r>
      <w:r>
        <w:t xml:space="preserve"> After Twenty Years” (</w:t>
      </w:r>
      <w:proofErr w:type="spellStart"/>
      <w:r>
        <w:t>ch.</w:t>
      </w:r>
      <w:proofErr w:type="spellEnd"/>
      <w:r>
        <w:t xml:space="preserve"> 15), at n. 31 and accompanying text, cautioning against use of “property” to refer to the object of a property rights rather than the rights agents have with respect to owned things. This and some other chapters (originally authored years ago) sometimes use “property” in this colloquial sense, but it should be kept in mind that in such cases, </w:t>
      </w:r>
      <w:proofErr w:type="gramStart"/>
      <w:r>
        <w:t>it should be understood that the</w:t>
      </w:r>
      <w:proofErr w:type="gramEnd"/>
      <w:r>
        <w:t xml:space="preserve"> word “property” refers to the thing (resource) owned. The civil law has a broad understanding of the concept of a “thing,” which can be owned or the subject of legal rights; see </w:t>
      </w:r>
      <w:r>
        <w:rPr>
          <w:rStyle w:val="Hyperlink"/>
        </w:rPr>
        <w:t>Louisiana Civil Code</w:t>
      </w:r>
      <w:r>
        <w:t xml:space="preserve"> (</w:t>
      </w:r>
      <w:r>
        <w:rPr>
          <w:rStyle w:val="Hyperlink"/>
        </w:rPr>
        <w:t>https://www.legis.la.gov/legis/Laws_Toc.aspx?folder=67&amp;level=Parent</w:t>
      </w:r>
      <w:r>
        <w:t xml:space="preserve">), art. 448: “Division of things. Things are divided into common, public, and private; </w:t>
      </w:r>
      <w:proofErr w:type="spellStart"/>
      <w:r>
        <w:t>corporeals</w:t>
      </w:r>
      <w:proofErr w:type="spellEnd"/>
      <w:r>
        <w:t xml:space="preserve"> and </w:t>
      </w:r>
      <w:proofErr w:type="spellStart"/>
      <w:r>
        <w:t>incorporeals</w:t>
      </w:r>
      <w:proofErr w:type="spellEnd"/>
      <w:r>
        <w:t>; and movables and immovables.” Incidentally this exhaustive classification schema implies that intellectual property rights are (private) “incorporeal movables.” See also Kinsella, “</w:t>
      </w:r>
      <w:r>
        <w:rPr>
          <w:rStyle w:val="Hyperlink"/>
        </w:rPr>
        <w:t>Are Ideas Movable or Immovable?</w:t>
      </w:r>
      <w:r>
        <w:t xml:space="preserve">”, </w:t>
      </w:r>
      <w:r>
        <w:rPr>
          <w:rStyle w:val="italic"/>
        </w:rPr>
        <w:t>C4SIF Blog</w:t>
      </w:r>
      <w:r>
        <w:t xml:space="preserve"> (April 8, 2013).</w:t>
      </w:r>
    </w:p>
  </w:footnote>
  <w:footnote w:id="9">
    <w:p w14:paraId="776C0E80" w14:textId="77777777" w:rsidR="00B64282" w:rsidRDefault="00B64282" w:rsidP="00B64282">
      <w:pPr>
        <w:pStyle w:val="Footnotes"/>
      </w:pPr>
      <w:r>
        <w:rPr>
          <w:vertAlign w:val="superscript"/>
        </w:rPr>
        <w:footnoteRef/>
      </w:r>
      <w:r>
        <w:t> </w:t>
      </w:r>
      <w:r>
        <w:t xml:space="preserve">Others, of course, have recognized the distinction between the effects or utility of punishment and the justification of the </w:t>
      </w:r>
      <w:r>
        <w:rPr>
          <w:rStyle w:val="italic"/>
        </w:rPr>
        <w:t>right</w:t>
      </w:r>
      <w:r>
        <w:t xml:space="preserve"> to punish. See, e.g., Blackstone, </w:t>
      </w:r>
      <w:r>
        <w:rPr>
          <w:rStyle w:val="italic"/>
        </w:rPr>
        <w:t>Commentaries on the Laws of England</w:t>
      </w:r>
      <w:r>
        <w:t xml:space="preserve">, bk 4, pp. *7–*19, discussing in separate subsections (1) the right or power to punish; (2) the object or end of punishment, for example, rehabilitation, deterrence, or incapacitation; and (3) the degree, measure, or quantity of punishment; Bradley, </w:t>
      </w:r>
      <w:r>
        <w:rPr>
          <w:rStyle w:val="italic"/>
        </w:rPr>
        <w:t>Ethical Studies</w:t>
      </w:r>
      <w:r>
        <w:t xml:space="preserve">, pp. 26–27 (“Having once the right to punish, we may modify the punishment according to the useful and the pleasant.”); Hart, </w:t>
      </w:r>
      <w:r>
        <w:rPr>
          <w:rStyle w:val="italic"/>
        </w:rPr>
        <w:t>Punishment and Responsibility</w:t>
      </w:r>
      <w:r>
        <w:t>, p. 74 (“[W]e must distinguish two questions commonly confused. They are, first ‘Why do men in fact punish?’ This is a question of fact to which there may be many different answers.… The second question, to be carefully distinguished from the first, is ‘What justifies men in punishing? Why is it morally good or morally permissible for them to punish?’”).</w:t>
      </w:r>
    </w:p>
    <w:p w14:paraId="07753FE9" w14:textId="77777777" w:rsidR="00B64282" w:rsidRDefault="00B64282" w:rsidP="00B64282">
      <w:pPr>
        <w:pStyle w:val="Footnotes"/>
      </w:pPr>
    </w:p>
  </w:footnote>
  <w:footnote w:id="10">
    <w:p w14:paraId="3821876A" w14:textId="77777777" w:rsidR="00B64282" w:rsidRDefault="00B64282" w:rsidP="00B64282">
      <w:pPr>
        <w:pStyle w:val="Footnotes"/>
      </w:pPr>
      <w:r>
        <w:rPr>
          <w:vertAlign w:val="superscript"/>
        </w:rPr>
        <w:footnoteRef/>
      </w:r>
      <w:r>
        <w:t> </w:t>
      </w:r>
      <w:r>
        <w:t xml:space="preserve">Professors Barnett and Hagel state that Rothbard’s punishment theory, “with its emphasis on the victim’s rights, ... is a significant and provocative departure from traditional retribution theory which, perhaps, merits a new label.” Randy E. Barnett &amp; John Hagel III, “Introduction to ‘Part II: Criminal Responsibility: Philosophical Issues,’” in Barnett &amp; Hagel III, eds., </w:t>
      </w:r>
      <w:r>
        <w:rPr>
          <w:rStyle w:val="italic"/>
        </w:rPr>
        <w:t>Assessing the Criminal</w:t>
      </w:r>
      <w:r>
        <w:t>, at p. 179.</w:t>
      </w:r>
    </w:p>
    <w:p w14:paraId="7954C911" w14:textId="77777777" w:rsidR="00B64282" w:rsidRDefault="00B64282" w:rsidP="00B64282">
      <w:pPr>
        <w:pStyle w:val="Footnotes"/>
      </w:pPr>
    </w:p>
  </w:footnote>
  <w:footnote w:id="11">
    <w:p w14:paraId="44B29008" w14:textId="77777777" w:rsidR="00B64282" w:rsidRDefault="00B64282" w:rsidP="00B64282">
      <w:pPr>
        <w:pStyle w:val="Footnotes"/>
      </w:pPr>
      <w:r>
        <w:rPr>
          <w:vertAlign w:val="superscript"/>
        </w:rPr>
        <w:footnoteRef/>
      </w:r>
      <w:r>
        <w:t> </w:t>
      </w:r>
      <w:r>
        <w:t xml:space="preserve">What this means is that we determine the content of our rights, by determining when the use of force is justified, since rights </w:t>
      </w:r>
      <w:proofErr w:type="gramStart"/>
      <w:r>
        <w:t>are considered to be</w:t>
      </w:r>
      <w:proofErr w:type="gramEnd"/>
      <w:r>
        <w:t xml:space="preserve"> claims that are legitimately enforceable, instead of the opposite approach of defining rights first which then implies which use of force is justified. The central question that I seek to address </w:t>
      </w:r>
      <w:proofErr w:type="gramStart"/>
      <w:r>
        <w:t>is:</w:t>
      </w:r>
      <w:proofErr w:type="gramEnd"/>
      <w:r>
        <w:t xml:space="preserve"> when is the use of force justified; the contours of rights </w:t>
      </w:r>
      <w:r>
        <w:rPr>
          <w:rStyle w:val="italic"/>
        </w:rPr>
        <w:t>follows from</w:t>
      </w:r>
      <w:r>
        <w:t xml:space="preserve"> the answer to this question.</w:t>
      </w:r>
    </w:p>
    <w:p w14:paraId="114C4A51" w14:textId="77777777" w:rsidR="00B64282" w:rsidRDefault="00B64282" w:rsidP="00B64282">
      <w:pPr>
        <w:pStyle w:val="Footnotes"/>
      </w:pPr>
    </w:p>
  </w:footnote>
  <w:footnote w:id="12">
    <w:p w14:paraId="36CBBCE0" w14:textId="77777777" w:rsidR="00B64282" w:rsidRDefault="00B64282" w:rsidP="00B64282">
      <w:pPr>
        <w:pStyle w:val="Footnotes"/>
        <w:rPr>
          <w:spacing w:val="3"/>
        </w:rPr>
      </w:pPr>
      <w:r>
        <w:rPr>
          <w:vertAlign w:val="superscript"/>
        </w:rPr>
        <w:footnoteRef/>
      </w:r>
      <w:r>
        <w:rPr>
          <w:spacing w:val="3"/>
        </w:rPr>
        <w:t> </w:t>
      </w:r>
      <w:r>
        <w:rPr>
          <w:spacing w:val="3"/>
        </w:rPr>
        <w:t xml:space="preserve">See, e.g., </w:t>
      </w:r>
      <w:r>
        <w:rPr>
          <w:rStyle w:val="italic"/>
          <w:spacing w:val="3"/>
        </w:rPr>
        <w:t>American Heritage Dictionary</w:t>
      </w:r>
      <w:r>
        <w:rPr>
          <w:spacing w:val="3"/>
        </w:rPr>
        <w:t>, 3d ed. (Boston: Houghton Mifflin, 1992), p. 1469, defining “punishment” as a “penalty imposed for wrongdoing: ‘</w:t>
      </w:r>
      <w:r>
        <w:rPr>
          <w:rStyle w:val="italic"/>
          <w:spacing w:val="3"/>
        </w:rPr>
        <w:t>The severity of the punishment must ... be in keeping with the kind of obligation which has been violated</w:t>
      </w:r>
      <w:r>
        <w:rPr>
          <w:spacing w:val="3"/>
        </w:rPr>
        <w:t>’ (Simone Weil).”</w:t>
      </w:r>
    </w:p>
    <w:p w14:paraId="4119A0BC" w14:textId="77777777" w:rsidR="00B64282" w:rsidRDefault="00B64282" w:rsidP="00B64282">
      <w:pPr>
        <w:pStyle w:val="Footnotes"/>
      </w:pPr>
    </w:p>
  </w:footnote>
  <w:footnote w:id="13">
    <w:p w14:paraId="0F383174" w14:textId="77777777" w:rsidR="00B64282" w:rsidRDefault="00B64282" w:rsidP="00B64282">
      <w:pPr>
        <w:pStyle w:val="Footnotes"/>
      </w:pPr>
      <w:r>
        <w:rPr>
          <w:vertAlign w:val="superscript"/>
        </w:rPr>
        <w:footnoteRef/>
      </w:r>
      <w:r>
        <w:t> </w:t>
      </w:r>
      <w:r>
        <w:t xml:space="preserve">See </w:t>
      </w:r>
      <w:r>
        <w:rPr>
          <w:rStyle w:val="italic"/>
        </w:rPr>
        <w:t>Black’s Law Dictionary</w:t>
      </w:r>
      <w:r>
        <w:t>, 6th ed. (St. Paul, Minn.: West Publishing, 1990), p. 1234, defining “punishment” as “[a]</w:t>
      </w:r>
      <w:proofErr w:type="spellStart"/>
      <w:r>
        <w:t>ny</w:t>
      </w:r>
      <w:proofErr w:type="spellEnd"/>
      <w:r>
        <w:t xml:space="preserve"> fine, penalty, or confinement inflicted upon a person.… [Or a] deprivation of property or some right.”</w:t>
      </w:r>
    </w:p>
    <w:p w14:paraId="79CDEADB" w14:textId="77777777" w:rsidR="00B64282" w:rsidRDefault="00B64282" w:rsidP="00B64282">
      <w:pPr>
        <w:pStyle w:val="Footnotes"/>
      </w:pPr>
    </w:p>
  </w:footnote>
  <w:footnote w:id="14">
    <w:p w14:paraId="6BB7CAD8" w14:textId="77777777" w:rsidR="00B64282" w:rsidRDefault="00B64282" w:rsidP="00B64282">
      <w:pPr>
        <w:pStyle w:val="Footnotes"/>
      </w:pPr>
      <w:r>
        <w:rPr>
          <w:vertAlign w:val="superscript"/>
        </w:rPr>
        <w:footnoteRef/>
      </w:r>
      <w:r>
        <w:t> </w:t>
      </w:r>
      <w:r>
        <w:t>See ibid. “Punishment” is “inflicted upon a person by the authority of the law and the judgment and sentence of a court, for some crime or offense committed by him, or for his omission of a duty enjoined by law.”</w:t>
      </w:r>
    </w:p>
    <w:p w14:paraId="04EDA0E8" w14:textId="77777777" w:rsidR="00B64282" w:rsidRDefault="00B64282" w:rsidP="00B64282">
      <w:pPr>
        <w:pStyle w:val="Footnotes"/>
      </w:pPr>
    </w:p>
  </w:footnote>
  <w:footnote w:id="15">
    <w:p w14:paraId="2B428F11" w14:textId="77777777" w:rsidR="00B64282" w:rsidRDefault="00B64282" w:rsidP="00B64282">
      <w:pPr>
        <w:pStyle w:val="Footnotes"/>
      </w:pPr>
      <w:r>
        <w:rPr>
          <w:vertAlign w:val="superscript"/>
        </w:rPr>
        <w:footnoteRef/>
      </w:r>
      <w:r>
        <w:t> </w:t>
      </w:r>
      <w:r>
        <w:t xml:space="preserve">Ulpian, “Edict 56,” in </w:t>
      </w:r>
      <w:r>
        <w:rPr>
          <w:rStyle w:val="italic"/>
        </w:rPr>
        <w:t>The Digest of Justinian</w:t>
      </w:r>
      <w:r>
        <w:t>, Vol. 4, 47.10.1.5 (p. 258) (in Latin: “</w:t>
      </w:r>
      <w:proofErr w:type="spellStart"/>
      <w:r>
        <w:rPr>
          <w:rStyle w:val="italic"/>
        </w:rPr>
        <w:t>nulla</w:t>
      </w:r>
      <w:proofErr w:type="spellEnd"/>
      <w:r>
        <w:rPr>
          <w:rStyle w:val="italic"/>
        </w:rPr>
        <w:t xml:space="preserve"> </w:t>
      </w:r>
      <w:proofErr w:type="spellStart"/>
      <w:r>
        <w:rPr>
          <w:rStyle w:val="italic"/>
        </w:rPr>
        <w:t>iniuria</w:t>
      </w:r>
      <w:proofErr w:type="spellEnd"/>
      <w:r>
        <w:rPr>
          <w:rStyle w:val="italic"/>
        </w:rPr>
        <w:t xml:space="preserve"> </w:t>
      </w:r>
      <w:proofErr w:type="spellStart"/>
      <w:r>
        <w:rPr>
          <w:rStyle w:val="italic"/>
        </w:rPr>
        <w:t>est</w:t>
      </w:r>
      <w:proofErr w:type="spellEnd"/>
      <w:r>
        <w:rPr>
          <w:rStyle w:val="italic"/>
        </w:rPr>
        <w:t xml:space="preserve">, </w:t>
      </w:r>
      <w:proofErr w:type="spellStart"/>
      <w:r>
        <w:rPr>
          <w:rStyle w:val="italic"/>
        </w:rPr>
        <w:t>quae</w:t>
      </w:r>
      <w:proofErr w:type="spellEnd"/>
      <w:r>
        <w:rPr>
          <w:rStyle w:val="italic"/>
        </w:rPr>
        <w:t xml:space="preserve"> in </w:t>
      </w:r>
      <w:proofErr w:type="spellStart"/>
      <w:r>
        <w:rPr>
          <w:rStyle w:val="italic"/>
        </w:rPr>
        <w:t>uolentem</w:t>
      </w:r>
      <w:proofErr w:type="spellEnd"/>
      <w:r>
        <w:rPr>
          <w:rStyle w:val="italic"/>
        </w:rPr>
        <w:t xml:space="preserve"> fiat</w:t>
      </w:r>
      <w:r>
        <w:t>”). As Richard Epstein explains:</w:t>
      </w:r>
    </w:p>
    <w:p w14:paraId="33774E27" w14:textId="77777777" w:rsidR="00B64282" w:rsidRDefault="00B64282" w:rsidP="00B64282">
      <w:pPr>
        <w:pStyle w:val="FootnoteBlockquotes"/>
      </w:pPr>
      <w:r>
        <w:t>The case for the recognition of consent as a defense in case of the deliberate infliction of harm can also be made in simple and direct terms. The self-infliction of harm generates no cause of action, no matter why inflicted. There is no reason, then, why a person who may inflict harm upon himself should not, prima facie, be allowed to have someone else do it for him.</w:t>
      </w:r>
    </w:p>
    <w:p w14:paraId="02FDF2E2" w14:textId="77777777" w:rsidR="00B64282" w:rsidRDefault="00B64282" w:rsidP="00B64282">
      <w:pPr>
        <w:pStyle w:val="Footnotes"/>
        <w:ind w:firstLine="0"/>
      </w:pPr>
      <w:r>
        <w:t xml:space="preserve">Richard A. Epstein, “Intentional Harms,” </w:t>
      </w:r>
      <w:r>
        <w:rPr>
          <w:rStyle w:val="italic"/>
        </w:rPr>
        <w:t>J. Legal Stud</w:t>
      </w:r>
      <w:r>
        <w:t>. 4 (1975): 391–442, at 411.</w:t>
      </w:r>
    </w:p>
    <w:p w14:paraId="635B6ADE" w14:textId="77777777" w:rsidR="00B64282" w:rsidRDefault="00B64282" w:rsidP="00B64282">
      <w:pPr>
        <w:pStyle w:val="Footnotes"/>
        <w:ind w:firstLine="0"/>
      </w:pPr>
    </w:p>
  </w:footnote>
  <w:footnote w:id="16">
    <w:p w14:paraId="451FAB48" w14:textId="77777777" w:rsidR="00B64282" w:rsidRDefault="00B64282" w:rsidP="00B64282">
      <w:pPr>
        <w:pStyle w:val="Footnotes"/>
        <w:rPr>
          <w:spacing w:val="-1"/>
        </w:rPr>
      </w:pPr>
      <w:r>
        <w:rPr>
          <w:vertAlign w:val="superscript"/>
        </w:rPr>
        <w:footnoteRef/>
      </w:r>
      <w:r>
        <w:rPr>
          <w:spacing w:val="-1"/>
        </w:rPr>
        <w:t> </w:t>
      </w:r>
      <w:r>
        <w:rPr>
          <w:spacing w:val="-1"/>
        </w:rPr>
        <w:t xml:space="preserve">John Hospers, “Retribution: The Ethics of Punishment,” in Barnett &amp; Hagel III, eds., </w:t>
      </w:r>
      <w:r>
        <w:rPr>
          <w:rStyle w:val="italic"/>
          <w:spacing w:val="-1"/>
        </w:rPr>
        <w:t>Assessing the Criminal</w:t>
      </w:r>
      <w:r>
        <w:rPr>
          <w:spacing w:val="-1"/>
        </w:rPr>
        <w:t xml:space="preserve">, p. 190. That said, we must be clear that the core of the libertarian ethic and the notion of aggression and rights does not center around the vague concept of </w:t>
      </w:r>
      <w:r>
        <w:t xml:space="preserve">“imposing cost,” contra the theory of J.C. Lester, in his </w:t>
      </w:r>
      <w:r>
        <w:rPr>
          <w:rStyle w:val="italic"/>
        </w:rPr>
        <w:t>Escape from Leviathan: Liberty, Wel</w:t>
      </w:r>
      <w:r>
        <w:rPr>
          <w:rStyle w:val="italic"/>
          <w:spacing w:val="-1"/>
        </w:rPr>
        <w:t>fare and Anarchy Reconciled</w:t>
      </w:r>
      <w:r>
        <w:rPr>
          <w:spacing w:val="-1"/>
        </w:rPr>
        <w:t xml:space="preserve"> (New York: St. Martin’s Press, 2000), or “causing harm,” as per T. Patrick Burke, </w:t>
      </w:r>
      <w:r>
        <w:rPr>
          <w:rStyle w:val="italic"/>
          <w:spacing w:val="-1"/>
        </w:rPr>
        <w:t>No Harm: Ethical Principles for a Free Market</w:t>
      </w:r>
      <w:r>
        <w:rPr>
          <w:spacing w:val="-1"/>
        </w:rPr>
        <w:t xml:space="preserve"> (New York: Paragon House, </w:t>
      </w:r>
      <w:r>
        <w:rPr>
          <w:spacing w:val="-2"/>
        </w:rPr>
        <w:t>1994). On Lester, see Kinsella, “‘</w:t>
      </w:r>
      <w:r>
        <w:rPr>
          <w:rStyle w:val="Hyperlink"/>
          <w:spacing w:val="-2"/>
        </w:rPr>
        <w:t>Aggression’ versus ‘Harm’ in Libertarianism</w:t>
      </w:r>
      <w:r>
        <w:rPr>
          <w:spacing w:val="-2"/>
        </w:rPr>
        <w:t xml:space="preserve">,” </w:t>
      </w:r>
      <w:r>
        <w:rPr>
          <w:rStyle w:val="italic"/>
          <w:spacing w:val="-2"/>
        </w:rPr>
        <w:t>Mises Economics</w:t>
      </w:r>
      <w:r>
        <w:rPr>
          <w:rStyle w:val="italic"/>
          <w:spacing w:val="-1"/>
        </w:rPr>
        <w:t xml:space="preserve"> Blog</w:t>
      </w:r>
      <w:r>
        <w:rPr>
          <w:spacing w:val="-1"/>
        </w:rPr>
        <w:t xml:space="preserve"> (Dec. 16, 2009) (criticizing Lester’s approach, his opposition to “</w:t>
      </w:r>
      <w:proofErr w:type="spellStart"/>
      <w:r>
        <w:rPr>
          <w:spacing w:val="-1"/>
        </w:rPr>
        <w:t>justificationism</w:t>
      </w:r>
      <w:proofErr w:type="spellEnd"/>
      <w:r>
        <w:rPr>
          <w:spacing w:val="-1"/>
        </w:rPr>
        <w:t>,” and his focus on “imposed cost” instead of aggression as the key libertarian principle); see also David Gordon &amp; Roberta A. Modugno, “</w:t>
      </w:r>
      <w:r>
        <w:rPr>
          <w:rStyle w:val="Hyperlink"/>
          <w:spacing w:val="-1"/>
        </w:rPr>
        <w:t xml:space="preserve">Review of J.C. Lester’s </w:t>
      </w:r>
      <w:r>
        <w:rPr>
          <w:rStyle w:val="HyperlinkitalicsFootnotes"/>
          <w:spacing w:val="-2"/>
        </w:rPr>
        <w:t>Escape from Leviathan: Liberty, Welfare, and Anarchy Reconciled</w:t>
      </w:r>
      <w:r>
        <w:rPr>
          <w:spacing w:val="-1"/>
        </w:rPr>
        <w:t xml:space="preserve">,” </w:t>
      </w:r>
      <w:r>
        <w:rPr>
          <w:rStyle w:val="italic"/>
          <w:spacing w:val="-1"/>
        </w:rPr>
        <w:t>J. Libertarian Stud.</w:t>
      </w:r>
      <w:r>
        <w:rPr>
          <w:spacing w:val="-1"/>
        </w:rPr>
        <w:t xml:space="preserve"> 17, no. 4 (2003, </w:t>
      </w:r>
      <w:r>
        <w:rPr>
          <w:rStyle w:val="Hyperlink"/>
          <w:spacing w:val="-1"/>
        </w:rPr>
        <w:t>https://mises.org/library/review-jc-lesters-escape-leviathan-liberty-welfare-and-anarchy-reconciled-0</w:t>
      </w:r>
      <w:r>
        <w:rPr>
          <w:spacing w:val="-1"/>
        </w:rPr>
        <w:t>): 101–109. On Burke, see Kinsella, “</w:t>
      </w:r>
      <w:r>
        <w:rPr>
          <w:rStyle w:val="Hyperlink"/>
          <w:spacing w:val="-1"/>
        </w:rPr>
        <w:t>Book Review</w:t>
      </w:r>
      <w:r>
        <w:rPr>
          <w:spacing w:val="-1"/>
        </w:rPr>
        <w:t xml:space="preserve">,” </w:t>
      </w:r>
      <w:r>
        <w:rPr>
          <w:rStyle w:val="italic"/>
          <w:spacing w:val="-1"/>
        </w:rPr>
        <w:t>Reason Papers</w:t>
      </w:r>
      <w:r>
        <w:rPr>
          <w:spacing w:val="-1"/>
        </w:rPr>
        <w:t xml:space="preserve"> No. 20 (Fall 1995; </w:t>
      </w:r>
      <w:r>
        <w:rPr>
          <w:rStyle w:val="Hyperlink"/>
          <w:spacing w:val="-1"/>
        </w:rPr>
        <w:t>https://reasonpapers.com/archives/</w:t>
      </w:r>
      <w:r>
        <w:rPr>
          <w:spacing w:val="-1"/>
        </w:rPr>
        <w:t xml:space="preserve">), p. 135–46; </w:t>
      </w:r>
      <w:r>
        <w:rPr>
          <w:rStyle w:val="italic"/>
          <w:spacing w:val="-1"/>
        </w:rPr>
        <w:t>idem</w:t>
      </w:r>
      <w:r>
        <w:rPr>
          <w:spacing w:val="-1"/>
        </w:rPr>
        <w:t xml:space="preserve">, “‘Aggression’ versus ‘Harm’ in Libertarianism.” </w:t>
      </w:r>
      <w:r>
        <w:rPr>
          <w:spacing w:val="-2"/>
        </w:rPr>
        <w:t>See also Kinsella, “</w:t>
      </w:r>
      <w:r>
        <w:rPr>
          <w:rStyle w:val="Hyperlink"/>
          <w:spacing w:val="-2"/>
        </w:rPr>
        <w:t>Hoppe on Property Rights in Physical Integrity vs Value</w:t>
      </w:r>
      <w:r>
        <w:rPr>
          <w:spacing w:val="-2"/>
        </w:rPr>
        <w:t xml:space="preserve">,” </w:t>
      </w:r>
      <w:r>
        <w:rPr>
          <w:rStyle w:val="italic"/>
          <w:spacing w:val="-2"/>
        </w:rPr>
        <w:t>StephanKinsella.com</w:t>
      </w:r>
      <w:r>
        <w:rPr>
          <w:spacing w:val="-1"/>
        </w:rPr>
        <w:t xml:space="preserve"> (June 12, 2011). As Rothbard points out:</w:t>
      </w:r>
    </w:p>
    <w:p w14:paraId="6AFAB176" w14:textId="77777777" w:rsidR="00B64282" w:rsidRDefault="00B64282" w:rsidP="00B64282">
      <w:pPr>
        <w:pStyle w:val="FootnoteBlockquotes"/>
      </w:pPr>
      <w:r>
        <w:t xml:space="preserve">Legal and political theory have committed much mischief by failing to pinpoint physical invasion as the only human action that should be illegal and that justifies the use of physical violence to combat it. The vague concept of “harm” is substituted for the precise one of physical violence. Consider the following two examples. Jim is courting Susan and is just about to win her hand in marriage, when suddenly Bob appears on the scene and wins her away. Surely Bob has done great “harm” to Jim. Once a nonphysical-invasion sense of harm is adopted, almost any outlaw act might be justified. Should Jim be able to “enjoin” Bob’s very existence? </w:t>
      </w:r>
    </w:p>
    <w:p w14:paraId="2E76E092" w14:textId="77777777" w:rsidR="00B64282" w:rsidRDefault="00B64282" w:rsidP="00B64282">
      <w:pPr>
        <w:pStyle w:val="Footnotes"/>
        <w:ind w:firstLine="0"/>
        <w:rPr>
          <w:spacing w:val="-1"/>
        </w:rPr>
      </w:pPr>
      <w:r>
        <w:rPr>
          <w:spacing w:val="-1"/>
        </w:rPr>
        <w:t xml:space="preserve">Murray N. Rothbard, “Law, Property Rights, and Air Pollution,” in </w:t>
      </w:r>
      <w:r>
        <w:rPr>
          <w:rStyle w:val="HyperlinkitalicsFootnotes"/>
          <w:spacing w:val="-2"/>
        </w:rPr>
        <w:t>Economic Controversies</w:t>
      </w:r>
      <w:r>
        <w:rPr>
          <w:spacing w:val="-1"/>
        </w:rPr>
        <w:t xml:space="preserve"> (Auburn, Ala.: Mises Institute, 2011; </w:t>
      </w:r>
      <w:r>
        <w:rPr>
          <w:rStyle w:val="Hyperlink"/>
          <w:spacing w:val="-1"/>
        </w:rPr>
        <w:t>https://mises.org/library/economic-controversies</w:t>
      </w:r>
      <w:r>
        <w:rPr>
          <w:spacing w:val="-1"/>
        </w:rPr>
        <w:t xml:space="preserve">), p. 374 (footnotes omitted). Rothbard criticizes, in this regard, John Stuart Mill, F.A. Hayek, and Robert Nozick. See ibid., p. 374 notes 13 &amp; 14. See also </w:t>
      </w:r>
      <w:r>
        <w:rPr>
          <w:rStyle w:val="italic"/>
          <w:spacing w:val="-1"/>
        </w:rPr>
        <w:t>idem</w:t>
      </w:r>
      <w:r>
        <w:rPr>
          <w:spacing w:val="-1"/>
        </w:rPr>
        <w:t xml:space="preserve">, </w:t>
      </w:r>
      <w:r>
        <w:rPr>
          <w:rStyle w:val="HyperlinkitalicsFootnotes"/>
          <w:spacing w:val="-2"/>
        </w:rPr>
        <w:t>Man, Economy, and State, with Power and Market</w:t>
      </w:r>
      <w:r>
        <w:rPr>
          <w:spacing w:val="-1"/>
        </w:rPr>
        <w:t xml:space="preserve">, Scholar’s ed., second ed. (Auburn, Ala.: Mises Institute, 2009; </w:t>
      </w:r>
      <w:r>
        <w:rPr>
          <w:rStyle w:val="Hyperlink"/>
          <w:spacing w:val="-1"/>
        </w:rPr>
        <w:t>https://mises.org/library/man-economy-and-state-power-and-market</w:t>
      </w:r>
      <w:r>
        <w:rPr>
          <w:spacing w:val="-1"/>
        </w:rPr>
        <w:t xml:space="preserve">), chap. 2, § 12, p. 183 (just law can only prohibit invasion of the </w:t>
      </w:r>
      <w:r>
        <w:rPr>
          <w:rStyle w:val="italic"/>
          <w:spacing w:val="-1"/>
        </w:rPr>
        <w:t>physical</w:t>
      </w:r>
      <w:r>
        <w:rPr>
          <w:spacing w:val="-1"/>
        </w:rPr>
        <w:t xml:space="preserve"> person and property of others, not injury to “values” of property).</w:t>
      </w:r>
    </w:p>
    <w:p w14:paraId="21921FAD" w14:textId="77777777" w:rsidR="00B64282" w:rsidRDefault="00B64282" w:rsidP="00B64282">
      <w:pPr>
        <w:pStyle w:val="Footnotes"/>
      </w:pPr>
      <w:r>
        <w:t>See also related discussion in “Dialogical Arguments for Libertarian Rights” (</w:t>
      </w:r>
      <w:proofErr w:type="spellStart"/>
      <w:r>
        <w:t>ch.</w:t>
      </w:r>
      <w:proofErr w:type="spellEnd"/>
      <w:r>
        <w:t xml:space="preserve"> 6), n.3.</w:t>
      </w:r>
    </w:p>
    <w:p w14:paraId="7DD5F321" w14:textId="77777777" w:rsidR="00B64282" w:rsidRDefault="00B64282" w:rsidP="00B64282">
      <w:pPr>
        <w:pStyle w:val="Footnotes"/>
      </w:pPr>
    </w:p>
  </w:footnote>
  <w:footnote w:id="17">
    <w:p w14:paraId="13DD3D8A" w14:textId="4BC5F6CC" w:rsidR="00B64282" w:rsidRDefault="00B64282" w:rsidP="00B64282">
      <w:pPr>
        <w:pStyle w:val="Footnotes"/>
      </w:pPr>
      <w:r>
        <w:rPr>
          <w:vertAlign w:val="superscript"/>
        </w:rPr>
        <w:footnoteRef/>
      </w:r>
      <w:r>
        <w:t> </w:t>
      </w:r>
      <w:r>
        <w:t xml:space="preserve">For an earlier presentation of the argument presented in this chapter, see </w:t>
      </w:r>
      <w:proofErr w:type="gramStart"/>
      <w:r>
        <w:t xml:space="preserve">Kinsella, </w:t>
      </w:r>
      <w:r>
        <w:t xml:space="preserve"> </w:t>
      </w:r>
      <w:r>
        <w:rPr>
          <w:spacing w:val="-2"/>
        </w:rPr>
        <w:t>“</w:t>
      </w:r>
      <w:proofErr w:type="gramEnd"/>
      <w:r>
        <w:rPr>
          <w:spacing w:val="-2"/>
        </w:rPr>
        <w:t>Estoppel: A New Justification for Individual Rights.” See also “How I Became a Libertarian”</w:t>
      </w:r>
      <w:r>
        <w:t xml:space="preserve"> </w:t>
      </w:r>
      <w:r>
        <w:rPr>
          <w:spacing w:val="-1"/>
        </w:rPr>
        <w:t>(</w:t>
      </w:r>
      <w:proofErr w:type="spellStart"/>
      <w:r>
        <w:rPr>
          <w:spacing w:val="-1"/>
        </w:rPr>
        <w:t>ch.</w:t>
      </w:r>
      <w:proofErr w:type="spellEnd"/>
      <w:r>
        <w:rPr>
          <w:spacing w:val="-1"/>
        </w:rPr>
        <w:t xml:space="preserve"> 1); Kinsella, “</w:t>
      </w:r>
      <w:r>
        <w:rPr>
          <w:rStyle w:val="Hyperlink"/>
          <w:spacing w:val="-1"/>
        </w:rPr>
        <w:t>The Genesis of Estoppel: My Libertarian Rights Theory</w:t>
      </w:r>
      <w:r>
        <w:rPr>
          <w:spacing w:val="-1"/>
        </w:rPr>
        <w:t xml:space="preserve">,” </w:t>
      </w:r>
      <w:r>
        <w:rPr>
          <w:rStyle w:val="italic"/>
          <w:spacing w:val="-1"/>
        </w:rPr>
        <w:t>StephanKinsella.com</w:t>
      </w:r>
      <w:r>
        <w:t xml:space="preserve"> (March 22, 2016); and “Dialogical Arguments for Libertarian Rights” (</w:t>
      </w:r>
      <w:proofErr w:type="spellStart"/>
      <w:r>
        <w:t>ch.</w:t>
      </w:r>
      <w:proofErr w:type="spellEnd"/>
      <w:r>
        <w:t xml:space="preserve"> 6).</w:t>
      </w:r>
    </w:p>
    <w:p w14:paraId="298E970C" w14:textId="77777777" w:rsidR="00B64282" w:rsidRDefault="00B64282" w:rsidP="00B64282">
      <w:pPr>
        <w:pStyle w:val="Footnotes"/>
      </w:pPr>
    </w:p>
  </w:footnote>
  <w:footnote w:id="18">
    <w:p w14:paraId="5E457EE0" w14:textId="77777777" w:rsidR="00B64282" w:rsidRDefault="00B64282" w:rsidP="00B64282">
      <w:pPr>
        <w:pStyle w:val="Footnotes"/>
      </w:pPr>
      <w:r>
        <w:rPr>
          <w:vertAlign w:val="superscript"/>
        </w:rPr>
        <w:footnoteRef/>
      </w:r>
      <w:r>
        <w:t> </w:t>
      </w:r>
      <w:r>
        <w:t xml:space="preserve">See, e.g., </w:t>
      </w:r>
      <w:r>
        <w:rPr>
          <w:rStyle w:val="italic"/>
        </w:rPr>
        <w:t>Allen v. Hance</w:t>
      </w:r>
      <w:r>
        <w:t xml:space="preserve">, 161 Cal. 189 (1911), p. 196; </w:t>
      </w:r>
      <w:r>
        <w:rPr>
          <w:rStyle w:val="italic"/>
        </w:rPr>
        <w:t>Highway Trailer Co. v. Donna Motor Lines, Inc.</w:t>
      </w:r>
      <w:r>
        <w:t xml:space="preserve">, 217 A.2d 617 (N.J. 1966), p. 621; </w:t>
      </w:r>
      <w:r>
        <w:rPr>
          <w:rStyle w:val="italic"/>
        </w:rPr>
        <w:t>Black’s Law Dictionary</w:t>
      </w:r>
      <w:r>
        <w:t>, p. 551.</w:t>
      </w:r>
    </w:p>
    <w:p w14:paraId="2B213736" w14:textId="77777777" w:rsidR="00B64282" w:rsidRDefault="00B64282" w:rsidP="00B64282">
      <w:pPr>
        <w:pStyle w:val="Footnotes"/>
      </w:pPr>
    </w:p>
  </w:footnote>
  <w:footnote w:id="19">
    <w:p w14:paraId="344FD24F" w14:textId="77777777" w:rsidR="00B64282" w:rsidRDefault="00B64282" w:rsidP="00B64282">
      <w:pPr>
        <w:pStyle w:val="Footnotes"/>
      </w:pPr>
      <w:r>
        <w:rPr>
          <w:vertAlign w:val="superscript"/>
        </w:rPr>
        <w:footnoteRef/>
      </w:r>
      <w:r>
        <w:t> </w:t>
      </w:r>
      <w:r>
        <w:t xml:space="preserve">For example, there is estoppel by deed, equitable estoppel, promissory estoppel, and judicial estoppel. See “Estoppel and Waiver,” </w:t>
      </w:r>
      <w:r>
        <w:rPr>
          <w:rStyle w:val="italic"/>
        </w:rPr>
        <w:t>American Jurisprudence</w:t>
      </w:r>
      <w:r>
        <w:t>, 2d ed., vol. 28 (St. Paul, Minn.: West Publishing, 1966), § 1.</w:t>
      </w:r>
    </w:p>
    <w:p w14:paraId="7543E34F" w14:textId="77777777" w:rsidR="00B64282" w:rsidRDefault="00B64282" w:rsidP="00B64282">
      <w:pPr>
        <w:pStyle w:val="Footnotes"/>
      </w:pPr>
    </w:p>
  </w:footnote>
  <w:footnote w:id="20">
    <w:p w14:paraId="487439E5" w14:textId="77777777" w:rsidR="00B64282" w:rsidRDefault="00B64282" w:rsidP="00B64282">
      <w:pPr>
        <w:pStyle w:val="Footnotes"/>
      </w:pPr>
      <w:r>
        <w:rPr>
          <w:vertAlign w:val="superscript"/>
        </w:rPr>
        <w:footnoteRef/>
      </w:r>
      <w:r>
        <w:t> </w:t>
      </w:r>
      <w:r>
        <w:t xml:space="preserve">Vernon V. Palmer, “The Many Guises of Equity in a Mixed Jurisdiction: A Functional View of Equity in Louisiana,” </w:t>
      </w:r>
      <w:proofErr w:type="spellStart"/>
      <w:r>
        <w:rPr>
          <w:rStyle w:val="italic"/>
        </w:rPr>
        <w:t>Tul</w:t>
      </w:r>
      <w:proofErr w:type="spellEnd"/>
      <w:r>
        <w:rPr>
          <w:rStyle w:val="italic"/>
        </w:rPr>
        <w:t>. L. Rev.</w:t>
      </w:r>
      <w:r>
        <w:t xml:space="preserve"> 69, no. 1 (1994): 7–70, at 55. See also Ulpian, “Edict 3,” in </w:t>
      </w:r>
      <w:r>
        <w:rPr>
          <w:rStyle w:val="italic"/>
        </w:rPr>
        <w:t>The Digest of Justinian</w:t>
      </w:r>
      <w:r>
        <w:t>, translation edited by Alan Watson, Vol. I (Philadelphia: University of Pennsylvania Press, 1985), 2.2.1, p. 42 (Section title: “The Same Rule which Anyone Maintains against Another is to be Applied to Him”):</w:t>
      </w:r>
    </w:p>
    <w:p w14:paraId="2DDDEB1F" w14:textId="77777777" w:rsidR="00B64282" w:rsidRDefault="00B64282" w:rsidP="00B64282">
      <w:pPr>
        <w:pStyle w:val="FootnoteBlockquotes"/>
        <w:rPr>
          <w:spacing w:val="2"/>
        </w:rPr>
      </w:pPr>
      <w:r>
        <w:rPr>
          <w:spacing w:val="2"/>
        </w:rPr>
        <w:t>This edict has the greatest equity without arousing the just indignation of anyone; for who will reject the application to himself of the same law which he has applied or caused to be applied to others? 1. “If one who holds a magistracy or authority establishes a new law against anyone, he himself ought to employ the same law whenever his adversary demands it. If anyone should obtain a new law from a person holding a magistracy or authority, whenever his adversary subsequently demands it, let judgment be given against him in accordance with the same law.” The reason, of course, is that what anyone believed to be fair, when applied to another, he should suffer to prevail in his own case.</w:t>
      </w:r>
    </w:p>
    <w:p w14:paraId="3591D170" w14:textId="77777777" w:rsidR="00B64282" w:rsidRDefault="00B64282" w:rsidP="00B64282">
      <w:pPr>
        <w:pStyle w:val="FootnoteBlockquotes"/>
      </w:pPr>
    </w:p>
  </w:footnote>
  <w:footnote w:id="21">
    <w:p w14:paraId="361C92F9" w14:textId="1B8359D7" w:rsidR="00B64282" w:rsidRDefault="00B64282" w:rsidP="00B64282">
      <w:pPr>
        <w:pStyle w:val="Footnotes"/>
        <w:jc w:val="left"/>
      </w:pPr>
      <w:r>
        <w:rPr>
          <w:vertAlign w:val="superscript"/>
        </w:rPr>
        <w:footnoteRef/>
      </w:r>
      <w:r>
        <w:t> </w:t>
      </w:r>
      <w:r>
        <w:t xml:space="preserve">Saúl </w:t>
      </w:r>
      <w:proofErr w:type="spellStart"/>
      <w:r>
        <w:t>Litvinoff</w:t>
      </w:r>
      <w:proofErr w:type="spellEnd"/>
      <w:r>
        <w:t>, “</w:t>
      </w:r>
      <w:r>
        <w:rPr>
          <w:rStyle w:val="Hyperlink"/>
        </w:rPr>
        <w:t>Still Another Look at Cause</w:t>
      </w:r>
      <w:r>
        <w:t xml:space="preserve">,” </w:t>
      </w:r>
      <w:r>
        <w:rPr>
          <w:rStyle w:val="italic"/>
        </w:rPr>
        <w:t xml:space="preserve">La. L. Rev. </w:t>
      </w:r>
      <w:r>
        <w:t>48, no. 1 (1987;</w:t>
      </w:r>
      <w:r>
        <w:t xml:space="preserve"> </w:t>
      </w:r>
      <w:r>
        <w:rPr>
          <w:rStyle w:val="Hyperlink"/>
        </w:rPr>
        <w:t>https://digitalcommons.law.lsu.edu/lalrev/vol48/iss1/5/</w:t>
      </w:r>
      <w:r>
        <w:t>): 3–28, at 21.</w:t>
      </w:r>
    </w:p>
    <w:p w14:paraId="013F39C5" w14:textId="77777777" w:rsidR="00B64282" w:rsidRDefault="00B64282" w:rsidP="00B64282">
      <w:pPr>
        <w:pStyle w:val="Footnotes"/>
      </w:pPr>
    </w:p>
  </w:footnote>
  <w:footnote w:id="22">
    <w:p w14:paraId="7197EFD6" w14:textId="77777777" w:rsidR="00B64282" w:rsidRDefault="00B64282" w:rsidP="00B64282">
      <w:pPr>
        <w:pStyle w:val="Footnotes"/>
      </w:pPr>
      <w:r>
        <w:rPr>
          <w:vertAlign w:val="superscript"/>
        </w:rPr>
        <w:footnoteRef/>
      </w:r>
      <w:r>
        <w:rPr>
          <w:spacing w:val="-2"/>
        </w:rPr>
        <w:t> </w:t>
      </w:r>
      <w:r>
        <w:rPr>
          <w:spacing w:val="-2"/>
        </w:rPr>
        <w:t xml:space="preserve">See, e.g., </w:t>
      </w:r>
      <w:proofErr w:type="spellStart"/>
      <w:r>
        <w:rPr>
          <w:rStyle w:val="italic"/>
          <w:spacing w:val="-2"/>
        </w:rPr>
        <w:t>Duthu</w:t>
      </w:r>
      <w:proofErr w:type="spellEnd"/>
      <w:r>
        <w:rPr>
          <w:rStyle w:val="italic"/>
          <w:spacing w:val="-2"/>
        </w:rPr>
        <w:t xml:space="preserve"> v. </w:t>
      </w:r>
      <w:proofErr w:type="spellStart"/>
      <w:r>
        <w:rPr>
          <w:rStyle w:val="italic"/>
          <w:spacing w:val="-2"/>
        </w:rPr>
        <w:t>Allements</w:t>
      </w:r>
      <w:proofErr w:type="spellEnd"/>
      <w:r>
        <w:rPr>
          <w:rStyle w:val="italic"/>
          <w:spacing w:val="-2"/>
        </w:rPr>
        <w:t>’ Roberson Mach. Works, Inc.</w:t>
      </w:r>
      <w:r>
        <w:rPr>
          <w:spacing w:val="-2"/>
        </w:rPr>
        <w:t xml:space="preserve">, 393 So. 2d 184, 186-87 (La. Ct. </w:t>
      </w:r>
      <w:r>
        <w:t xml:space="preserve">App. 1980); </w:t>
      </w:r>
      <w:proofErr w:type="spellStart"/>
      <w:r>
        <w:rPr>
          <w:rStyle w:val="italic"/>
        </w:rPr>
        <w:t>Blofsen</w:t>
      </w:r>
      <w:proofErr w:type="spellEnd"/>
      <w:r>
        <w:rPr>
          <w:rStyle w:val="italic"/>
        </w:rPr>
        <w:t xml:space="preserve"> v. </w:t>
      </w:r>
      <w:proofErr w:type="spellStart"/>
      <w:r>
        <w:rPr>
          <w:rStyle w:val="italic"/>
        </w:rPr>
        <w:t>Cutaiar</w:t>
      </w:r>
      <w:proofErr w:type="spellEnd"/>
      <w:r>
        <w:t>, 333 A.2d 841, 843–44 (Pa. 1975).</w:t>
      </w:r>
    </w:p>
    <w:p w14:paraId="6CD8EA90" w14:textId="77777777" w:rsidR="00B64282" w:rsidRDefault="00B64282" w:rsidP="00B64282">
      <w:pPr>
        <w:pStyle w:val="Footnotes"/>
      </w:pPr>
    </w:p>
  </w:footnote>
  <w:footnote w:id="23">
    <w:p w14:paraId="58AB8B6D" w14:textId="77777777" w:rsidR="00B64282" w:rsidRDefault="00B64282" w:rsidP="00B64282">
      <w:pPr>
        <w:pStyle w:val="Footnotes"/>
        <w:rPr>
          <w:spacing w:val="-1"/>
        </w:rPr>
      </w:pPr>
      <w:r>
        <w:rPr>
          <w:vertAlign w:val="superscript"/>
        </w:rPr>
        <w:footnoteRef/>
      </w:r>
      <w:r>
        <w:rPr>
          <w:spacing w:val="-1"/>
        </w:rPr>
        <w:t> </w:t>
      </w:r>
      <w:r>
        <w:rPr>
          <w:spacing w:val="-1"/>
        </w:rPr>
        <w:t xml:space="preserve">Recall also the saying “‘What you do speaks so </w:t>
      </w:r>
      <w:proofErr w:type="gramStart"/>
      <w:r>
        <w:rPr>
          <w:spacing w:val="-1"/>
        </w:rPr>
        <w:t>loud</w:t>
      </w:r>
      <w:proofErr w:type="gramEnd"/>
      <w:r>
        <w:rPr>
          <w:spacing w:val="-1"/>
        </w:rPr>
        <w:t xml:space="preserve"> I can’t hear what you are saying.’” Clarence B. Carson, </w:t>
      </w:r>
      <w:r>
        <w:rPr>
          <w:rStyle w:val="HyperlinkitalicsFootnotes"/>
          <w:spacing w:val="-2"/>
        </w:rPr>
        <w:t>Free Enterprise: The Road to Prosperity</w:t>
      </w:r>
      <w:r>
        <w:rPr>
          <w:spacing w:val="-1"/>
        </w:rPr>
        <w:t xml:space="preserve"> (New Rochelle: America’s Future, 1985; </w:t>
      </w:r>
      <w:r>
        <w:rPr>
          <w:rStyle w:val="Hyperlink"/>
          <w:spacing w:val="-1"/>
        </w:rPr>
        <w:t>https://fee.org/articles/free-enterprise-the-key-to-prosperity/</w:t>
      </w:r>
      <w:r>
        <w:rPr>
          <w:spacing w:val="-1"/>
        </w:rPr>
        <w:t xml:space="preserve">). For a recent example of a use of the basic logic behind this notion, see Cheyenne Ligon, Jack Schickler &amp; </w:t>
      </w:r>
      <w:proofErr w:type="spellStart"/>
      <w:r>
        <w:rPr>
          <w:spacing w:val="-1"/>
        </w:rPr>
        <w:t>Nikhilesh</w:t>
      </w:r>
      <w:proofErr w:type="spellEnd"/>
      <w:r>
        <w:rPr>
          <w:spacing w:val="-1"/>
        </w:rPr>
        <w:t xml:space="preserve"> De, “</w:t>
      </w:r>
      <w:proofErr w:type="spellStart"/>
      <w:r>
        <w:rPr>
          <w:rStyle w:val="Hyperlink"/>
          <w:spacing w:val="-1"/>
        </w:rPr>
        <w:t>Hodlonaut</w:t>
      </w:r>
      <w:proofErr w:type="spellEnd"/>
      <w:r>
        <w:rPr>
          <w:rStyle w:val="Hyperlink"/>
          <w:spacing w:val="-1"/>
        </w:rPr>
        <w:t xml:space="preserve"> Wins Norwegian Lawsuit Against Self-Proclaimed ‘Satoshi’ Craig Wright</w:t>
      </w:r>
      <w:r>
        <w:rPr>
          <w:spacing w:val="-1"/>
        </w:rPr>
        <w:t xml:space="preserve">,” </w:t>
      </w:r>
      <w:r>
        <w:rPr>
          <w:rStyle w:val="italic"/>
          <w:spacing w:val="-1"/>
        </w:rPr>
        <w:t>Coindesk.com</w:t>
      </w:r>
      <w:r>
        <w:rPr>
          <w:spacing w:val="-1"/>
        </w:rPr>
        <w:t xml:space="preserve"> (Oct. 20, 2022; </w:t>
      </w:r>
      <w:r>
        <w:rPr>
          <w:rStyle w:val="Hyperlink"/>
          <w:spacing w:val="-1"/>
        </w:rPr>
        <w:t>https://perma.cc/QLV9-VSLM</w:t>
      </w:r>
      <w:r>
        <w:rPr>
          <w:spacing w:val="-1"/>
        </w:rPr>
        <w:t>), discussing a recent Norwegian case concerning a dispute over whether Craig S. Wright is really Satoshi Naka</w:t>
      </w:r>
      <w:r>
        <w:rPr>
          <w:spacing w:val="1"/>
        </w:rPr>
        <w:t xml:space="preserve">moto, the pseudonymous creator of Bitcoin, and the claims of Magnus </w:t>
      </w:r>
      <w:proofErr w:type="spellStart"/>
      <w:r>
        <w:rPr>
          <w:spacing w:val="1"/>
        </w:rPr>
        <w:t>Granath</w:t>
      </w:r>
      <w:proofErr w:type="spellEnd"/>
      <w:r>
        <w:rPr>
          <w:spacing w:val="1"/>
        </w:rPr>
        <w:t>, known on Twitter as “</w:t>
      </w:r>
      <w:proofErr w:type="spellStart"/>
      <w:r>
        <w:rPr>
          <w:spacing w:val="1"/>
        </w:rPr>
        <w:t>Hodlonaut</w:t>
      </w:r>
      <w:proofErr w:type="spellEnd"/>
      <w:r>
        <w:rPr>
          <w:spacing w:val="1"/>
        </w:rPr>
        <w:t xml:space="preserve">,” that Wright is not Nakamoto and is instead a “fraud” and a “scammer.” The court ruled for </w:t>
      </w:r>
      <w:proofErr w:type="spellStart"/>
      <w:r>
        <w:rPr>
          <w:spacing w:val="1"/>
        </w:rPr>
        <w:t>Granath</w:t>
      </w:r>
      <w:proofErr w:type="spellEnd"/>
      <w:r>
        <w:rPr>
          <w:spacing w:val="1"/>
        </w:rPr>
        <w:t xml:space="preserve">, employing, in part, estoppel-like reasoning: </w:t>
      </w:r>
    </w:p>
    <w:p w14:paraId="4810AAD7" w14:textId="77777777" w:rsidR="00B64282" w:rsidRDefault="00B64282" w:rsidP="00B64282">
      <w:pPr>
        <w:pStyle w:val="FootnoteBlockquotes"/>
        <w:rPr>
          <w:spacing w:val="-1"/>
        </w:rPr>
      </w:pPr>
      <w:r>
        <w:rPr>
          <w:spacing w:val="-1"/>
        </w:rPr>
        <w:t xml:space="preserve">“Wright has come out with a controversial claim, and must withstand criticism from dissenters,” [Judge </w:t>
      </w:r>
      <w:proofErr w:type="spellStart"/>
      <w:r>
        <w:rPr>
          <w:spacing w:val="-1"/>
        </w:rPr>
        <w:t>Engebrigtsen</w:t>
      </w:r>
      <w:proofErr w:type="spellEnd"/>
      <w:r>
        <w:rPr>
          <w:spacing w:val="-1"/>
        </w:rPr>
        <w:t xml:space="preserve">] added, concluding that </w:t>
      </w:r>
      <w:proofErr w:type="spellStart"/>
      <w:r>
        <w:rPr>
          <w:spacing w:val="-1"/>
        </w:rPr>
        <w:t>Granath’s</w:t>
      </w:r>
      <w:proofErr w:type="spellEnd"/>
      <w:r>
        <w:rPr>
          <w:spacing w:val="-1"/>
        </w:rPr>
        <w:t xml:space="preserve"> statements were lawful, not defamatory. </w:t>
      </w:r>
    </w:p>
    <w:p w14:paraId="4276D691" w14:textId="77777777" w:rsidR="00B64282" w:rsidRDefault="00B64282" w:rsidP="00B64282">
      <w:pPr>
        <w:pStyle w:val="FootnoteBlockquotes"/>
        <w:rPr>
          <w:spacing w:val="-1"/>
        </w:rPr>
      </w:pPr>
      <w:proofErr w:type="spellStart"/>
      <w:r>
        <w:rPr>
          <w:spacing w:val="-1"/>
        </w:rPr>
        <w:t>Engebrigtsen</w:t>
      </w:r>
      <w:proofErr w:type="spellEnd"/>
      <w:r>
        <w:rPr>
          <w:spacing w:val="-1"/>
        </w:rPr>
        <w:t xml:space="preserve"> also appeared to take up the idea that Twitter is a naturally rough-and-tumble environment where users should have a thick skin, after </w:t>
      </w:r>
      <w:proofErr w:type="spellStart"/>
      <w:r>
        <w:rPr>
          <w:spacing w:val="-1"/>
        </w:rPr>
        <w:t>Granath’s</w:t>
      </w:r>
      <w:proofErr w:type="spellEnd"/>
      <w:r>
        <w:rPr>
          <w:spacing w:val="-1"/>
        </w:rPr>
        <w:t xml:space="preserve"> lawyers noted that Wright had also tweeted strong words such as “cuck” and “soy boy.” </w:t>
      </w:r>
    </w:p>
    <w:p w14:paraId="6412580F" w14:textId="77777777" w:rsidR="00B64282" w:rsidRDefault="00B64282" w:rsidP="00B64282">
      <w:pPr>
        <w:pStyle w:val="FootnoteBlockquotes"/>
      </w:pPr>
      <w:r>
        <w:t>“Wright himself uses coarse slang and derogatory references, and so, in the court’s view, must accept that others use similar jargon against him,” the judgment said.</w:t>
      </w:r>
    </w:p>
  </w:footnote>
  <w:footnote w:id="24">
    <w:p w14:paraId="2EC91A0E" w14:textId="77777777" w:rsidR="00B64282" w:rsidRDefault="00B64282" w:rsidP="00B64282">
      <w:pPr>
        <w:pStyle w:val="Footnotes"/>
      </w:pPr>
      <w:r>
        <w:rPr>
          <w:vertAlign w:val="superscript"/>
        </w:rPr>
        <w:footnoteRef/>
      </w:r>
      <w:r>
        <w:t> </w:t>
      </w:r>
      <w:r>
        <w:t xml:space="preserve">“Estoppel and Waiver,” </w:t>
      </w:r>
      <w:r>
        <w:rPr>
          <w:rStyle w:val="italic"/>
        </w:rPr>
        <w:t xml:space="preserve">American Jurisprudence </w:t>
      </w:r>
      <w:r>
        <w:t>28 (1966), § 1, quoting Lord Coke. In the remainder of this chapter, the expression “estoppel” or “dialogical estoppel” refers to the more general, philosophical estoppel theory developed herein, as opposed to the traditional theory of legal estoppel, which will be denoted “legal estoppel.”</w:t>
      </w:r>
    </w:p>
    <w:p w14:paraId="73F9666C" w14:textId="77777777" w:rsidR="00B64282" w:rsidRDefault="00B64282" w:rsidP="00B64282">
      <w:pPr>
        <w:pStyle w:val="Footnotes"/>
      </w:pPr>
    </w:p>
  </w:footnote>
  <w:footnote w:id="25">
    <w:p w14:paraId="41DB272F" w14:textId="77777777" w:rsidR="00B64282" w:rsidRDefault="00B64282" w:rsidP="00B64282">
      <w:pPr>
        <w:pStyle w:val="Footnotes"/>
      </w:pPr>
      <w:r>
        <w:rPr>
          <w:vertAlign w:val="superscript"/>
        </w:rPr>
        <w:footnoteRef/>
      </w:r>
      <w:r>
        <w:t> </w:t>
      </w:r>
      <w:r>
        <w:t xml:space="preserve">See </w:t>
      </w:r>
      <w:r>
        <w:rPr>
          <w:rStyle w:val="italic"/>
        </w:rPr>
        <w:t xml:space="preserve">Bellsouth Adver. &amp; Publ’g Corp. v. </w:t>
      </w:r>
      <w:proofErr w:type="spellStart"/>
      <w:r>
        <w:rPr>
          <w:rStyle w:val="italic"/>
        </w:rPr>
        <w:t>Gassenberger</w:t>
      </w:r>
      <w:proofErr w:type="spellEnd"/>
      <w:r>
        <w:t>, 565 So.2d 1093 (La. Ct. App. 1990), p. 1095.</w:t>
      </w:r>
    </w:p>
    <w:p w14:paraId="0F7B09C6" w14:textId="77777777" w:rsidR="00B64282" w:rsidRDefault="00B64282" w:rsidP="00B64282">
      <w:pPr>
        <w:pStyle w:val="Footnotes"/>
      </w:pPr>
    </w:p>
  </w:footnote>
  <w:footnote w:id="26">
    <w:p w14:paraId="7E32A048" w14:textId="77777777" w:rsidR="00B64282" w:rsidRDefault="00B64282" w:rsidP="00B64282">
      <w:pPr>
        <w:pStyle w:val="Footnotes"/>
      </w:pPr>
      <w:r>
        <w:rPr>
          <w:vertAlign w:val="superscript"/>
        </w:rPr>
        <w:footnoteRef/>
      </w:r>
      <w:r>
        <w:t> </w:t>
      </w:r>
      <w:r>
        <w:t xml:space="preserve">See </w:t>
      </w:r>
      <w:r>
        <w:rPr>
          <w:rStyle w:val="italic"/>
        </w:rPr>
        <w:t>Dickerson v. Colegrove</w:t>
      </w:r>
      <w:r>
        <w:t>, 100 U.S. 578 (1879), p. 580.</w:t>
      </w:r>
    </w:p>
    <w:p w14:paraId="773BE290" w14:textId="77777777" w:rsidR="00B64282" w:rsidRDefault="00B64282" w:rsidP="00B64282">
      <w:pPr>
        <w:pStyle w:val="Footnotes"/>
      </w:pPr>
    </w:p>
  </w:footnote>
  <w:footnote w:id="27">
    <w:p w14:paraId="4F6FAA9E" w14:textId="77777777" w:rsidR="00B64282" w:rsidRDefault="00B64282" w:rsidP="00B64282">
      <w:pPr>
        <w:pStyle w:val="Footnotes"/>
      </w:pPr>
      <w:r>
        <w:rPr>
          <w:vertAlign w:val="superscript"/>
        </w:rPr>
        <w:footnoteRef/>
      </w:r>
      <w:r>
        <w:t> </w:t>
      </w:r>
      <w:r>
        <w:rPr>
          <w:rStyle w:val="italic"/>
        </w:rPr>
        <w:t>Zimmerman v. Zimmerman</w:t>
      </w:r>
      <w:r>
        <w:t>, 447 N.Y.S.2d 675 (App. Div. 1982).</w:t>
      </w:r>
    </w:p>
    <w:p w14:paraId="09F1566E" w14:textId="77777777" w:rsidR="00B64282" w:rsidRDefault="00B64282" w:rsidP="00B64282">
      <w:pPr>
        <w:pStyle w:val="Footnotes"/>
      </w:pPr>
    </w:p>
  </w:footnote>
  <w:footnote w:id="28">
    <w:p w14:paraId="0A8D6413" w14:textId="77777777" w:rsidR="00B64282" w:rsidRDefault="00B64282" w:rsidP="00B64282">
      <w:pPr>
        <w:pStyle w:val="Footnotes"/>
      </w:pPr>
      <w:r>
        <w:rPr>
          <w:vertAlign w:val="superscript"/>
        </w:rPr>
        <w:footnoteRef/>
      </w:r>
      <w:r>
        <w:rPr>
          <w:spacing w:val="-1"/>
        </w:rPr>
        <w:t> </w:t>
      </w:r>
      <w:r>
        <w:rPr>
          <w:spacing w:val="-1"/>
        </w:rPr>
        <w:t xml:space="preserve">The concept of “detrimental reliance” </w:t>
      </w:r>
      <w:proofErr w:type="gramStart"/>
      <w:r>
        <w:rPr>
          <w:spacing w:val="-1"/>
        </w:rPr>
        <w:t>actually involves</w:t>
      </w:r>
      <w:proofErr w:type="gramEnd"/>
      <w:r>
        <w:rPr>
          <w:spacing w:val="-1"/>
        </w:rPr>
        <w:t xml:space="preserve"> circular reasoning, however, for reliance on performance is not “reasonable” or justifiable unless one already knows that the </w:t>
      </w:r>
      <w:r>
        <w:t>promise is enforceable, which begs the question. See “A Libertarian Theory of Contract: Title Transfer, Binding Promises, and Inalienability” (</w:t>
      </w:r>
      <w:proofErr w:type="spellStart"/>
      <w:r>
        <w:t>ch.</w:t>
      </w:r>
      <w:proofErr w:type="spellEnd"/>
      <w:r>
        <w:t xml:space="preserve"> 9), Part. I.E. However, the legitimacy of the traditional legal concept of detrimental reliance is irrelevant here.</w:t>
      </w:r>
    </w:p>
    <w:p w14:paraId="6D44E386" w14:textId="77777777" w:rsidR="00B64282" w:rsidRDefault="00B64282" w:rsidP="00B64282">
      <w:pPr>
        <w:pStyle w:val="Footnotes"/>
      </w:pPr>
    </w:p>
  </w:footnote>
  <w:footnote w:id="29">
    <w:p w14:paraId="06D9757B" w14:textId="77777777" w:rsidR="00B64282" w:rsidRDefault="00B64282" w:rsidP="00B64282">
      <w:pPr>
        <w:pStyle w:val="Footnotes"/>
        <w:rPr>
          <w:spacing w:val="1"/>
        </w:rPr>
      </w:pPr>
      <w:r>
        <w:rPr>
          <w:vertAlign w:val="superscript"/>
        </w:rPr>
        <w:footnoteRef/>
      </w:r>
      <w:r>
        <w:rPr>
          <w:spacing w:val="1"/>
        </w:rPr>
        <w:t> </w:t>
      </w:r>
      <w:r>
        <w:rPr>
          <w:spacing w:val="1"/>
        </w:rPr>
        <w:t>As used herein, “‘[a]</w:t>
      </w:r>
      <w:proofErr w:type="spellStart"/>
      <w:r>
        <w:rPr>
          <w:spacing w:val="1"/>
        </w:rPr>
        <w:t>ggression</w:t>
      </w:r>
      <w:proofErr w:type="spellEnd"/>
      <w:r>
        <w:rPr>
          <w:spacing w:val="1"/>
        </w:rPr>
        <w:t xml:space="preserve">’ is defined as the </w:t>
      </w:r>
      <w:r>
        <w:rPr>
          <w:rStyle w:val="italic"/>
          <w:spacing w:val="1"/>
        </w:rPr>
        <w:t>initiation</w:t>
      </w:r>
      <w:r>
        <w:rPr>
          <w:spacing w:val="1"/>
        </w:rPr>
        <w:t xml:space="preserve"> of the use or threat of physical violence against the person or property of anyone else.” Rothbard, </w:t>
      </w:r>
      <w:proofErr w:type="gramStart"/>
      <w:r>
        <w:rPr>
          <w:rStyle w:val="italic"/>
          <w:spacing w:val="1"/>
        </w:rPr>
        <w:t>For</w:t>
      </w:r>
      <w:proofErr w:type="gramEnd"/>
      <w:r>
        <w:rPr>
          <w:rStyle w:val="italic"/>
          <w:spacing w:val="1"/>
        </w:rPr>
        <w:t xml:space="preserve"> a New Liberty,</w:t>
      </w:r>
      <w:r>
        <w:rPr>
          <w:spacing w:val="1"/>
        </w:rPr>
        <w:t xml:space="preserve"> p. 23, emphasis added. See also Kinsella, “What Libertarianism Is” (</w:t>
      </w:r>
      <w:proofErr w:type="spellStart"/>
      <w:r>
        <w:rPr>
          <w:spacing w:val="1"/>
        </w:rPr>
        <w:t>ch.</w:t>
      </w:r>
      <w:proofErr w:type="spellEnd"/>
      <w:r>
        <w:rPr>
          <w:spacing w:val="1"/>
        </w:rPr>
        <w:t xml:space="preserve"> 2), at n.9, </w:t>
      </w:r>
      <w:r>
        <w:rPr>
          <w:rStyle w:val="italic"/>
          <w:spacing w:val="1"/>
        </w:rPr>
        <w:t>et pass.</w:t>
      </w:r>
      <w:r>
        <w:rPr>
          <w:spacing w:val="1"/>
        </w:rPr>
        <w:t>; Kinsella, “</w:t>
      </w:r>
      <w:r>
        <w:rPr>
          <w:rStyle w:val="Hyperlink"/>
          <w:spacing w:val="1"/>
        </w:rPr>
        <w:t>Aggression and Property Rights Plank in the Libertarian Party Platform</w:t>
      </w:r>
      <w:r>
        <w:rPr>
          <w:spacing w:val="1"/>
        </w:rPr>
        <w:t xml:space="preserve">,” </w:t>
      </w:r>
      <w:r>
        <w:rPr>
          <w:rStyle w:val="italic"/>
          <w:spacing w:val="1"/>
        </w:rPr>
        <w:t>StephanKinsella.com</w:t>
      </w:r>
      <w:r>
        <w:rPr>
          <w:spacing w:val="1"/>
        </w:rPr>
        <w:t xml:space="preserve"> (May 30, 2022).</w:t>
      </w:r>
    </w:p>
    <w:p w14:paraId="5F7CB571" w14:textId="77777777" w:rsidR="00B64282" w:rsidRDefault="00B64282" w:rsidP="00B64282">
      <w:pPr>
        <w:pStyle w:val="Footnotes"/>
      </w:pPr>
    </w:p>
  </w:footnote>
  <w:footnote w:id="30">
    <w:p w14:paraId="4E498E03" w14:textId="77777777" w:rsidR="00B64282" w:rsidRDefault="00B64282" w:rsidP="00B64282">
      <w:pPr>
        <w:pStyle w:val="Footnotes"/>
      </w:pPr>
      <w:r>
        <w:rPr>
          <w:vertAlign w:val="superscript"/>
        </w:rPr>
        <w:footnoteRef/>
      </w:r>
      <w:r>
        <w:t> </w:t>
      </w:r>
      <w:r>
        <w:t xml:space="preserve">On the impossibility of denying the law of contradiction, see Aristotle, </w:t>
      </w:r>
      <w:r>
        <w:rPr>
          <w:rStyle w:val="italic"/>
        </w:rPr>
        <w:t>Metaphysics</w:t>
      </w:r>
      <w:r>
        <w:t xml:space="preserve">, Richard Hope, trans. (New York: Columbia University Press, 1952), p. 68 (“‘It is impossible for the same thing at the same time to belong and not to belong to the same thing and in </w:t>
      </w:r>
      <w:r>
        <w:rPr>
          <w:spacing w:val="1"/>
        </w:rPr>
        <w:t xml:space="preserve">the same respect.”‘); Hans-Hermann Hoppe, </w:t>
      </w:r>
      <w:r>
        <w:rPr>
          <w:rStyle w:val="Hyperlink"/>
          <w:spacing w:val="1"/>
        </w:rPr>
        <w:t>A Theory of Socialism and Capitalism: Economics,</w:t>
      </w:r>
      <w:r>
        <w:rPr>
          <w:rStyle w:val="Hyperlink"/>
        </w:rPr>
        <w:t xml:space="preserve"> Politics, and Ethics </w:t>
      </w:r>
      <w:r>
        <w:t xml:space="preserve">(Mises, 2010 [1989]; </w:t>
      </w:r>
      <w:r>
        <w:rPr>
          <w:rStyle w:val="Hyperlink"/>
        </w:rPr>
        <w:t>www.hanshoppe.com/tsc</w:t>
      </w:r>
      <w:r>
        <w:t xml:space="preserve">), p. 142 n.108; Tibor R. Machan, </w:t>
      </w:r>
      <w:r>
        <w:rPr>
          <w:rStyle w:val="italic"/>
        </w:rPr>
        <w:t>Individuals and Their Rights</w:t>
      </w:r>
      <w:r>
        <w:t xml:space="preserve"> (Chicago: Open Court Publishing, 1989), p. 77; Douglas B. Rasmussen &amp; Douglas J. Den </w:t>
      </w:r>
      <w:proofErr w:type="spellStart"/>
      <w:r>
        <w:t>Uyl</w:t>
      </w:r>
      <w:proofErr w:type="spellEnd"/>
      <w:r>
        <w:t xml:space="preserve">, </w:t>
      </w:r>
      <w:r>
        <w:rPr>
          <w:rStyle w:val="italic"/>
        </w:rPr>
        <w:t>Liberty and Nature: An Aristotelian Defense of Liberal Order</w:t>
      </w:r>
      <w:r>
        <w:t xml:space="preserve"> (La Salle, Ill.: Open Court, 1991), p. 50; Ludwig von Mises, </w:t>
      </w:r>
      <w:r>
        <w:rPr>
          <w:rStyle w:val="HyperlinkitalicsFootnotes"/>
          <w:spacing w:val="-2"/>
        </w:rPr>
        <w:t>Human Action: A Treatise on Economics</w:t>
      </w:r>
      <w:r>
        <w:rPr>
          <w:rStyle w:val="italic"/>
        </w:rPr>
        <w:t xml:space="preserve">, </w:t>
      </w:r>
      <w:r>
        <w:rPr>
          <w:rStyle w:val="italic"/>
          <w:i w:val="0"/>
          <w:iCs w:val="0"/>
        </w:rPr>
        <w:t>Scholar’s ed.</w:t>
      </w:r>
      <w:r>
        <w:t xml:space="preserve"> (Auburn, Ala.: Mises Institute, 1998; </w:t>
      </w:r>
      <w:r>
        <w:rPr>
          <w:rStyle w:val="Hyperlink"/>
        </w:rPr>
        <w:t>https://mises.org/library/human-action-0</w:t>
      </w:r>
      <w:r>
        <w:t xml:space="preserve">), p. 36; see also Leonard Peikoff, </w:t>
      </w:r>
      <w:r>
        <w:rPr>
          <w:rStyle w:val="italic"/>
        </w:rPr>
        <w:t>Objectivism: The Philosophy of Ayn Rand</w:t>
      </w:r>
      <w:r>
        <w:t xml:space="preserve"> (New York: Plume, 1991), pp. 6–12, 118–21, explaining the law of identity and its relevance to knowledge; Ayn Rand, </w:t>
      </w:r>
      <w:r>
        <w:rPr>
          <w:rStyle w:val="italic"/>
        </w:rPr>
        <w:t>Atlas Shrugged</w:t>
      </w:r>
      <w:r>
        <w:t xml:space="preserve"> (New York: Signet 1992), pp. 942–43, discussing identity, or “A is A,” and the law of contradiction.</w:t>
      </w:r>
    </w:p>
    <w:p w14:paraId="76D9DA62" w14:textId="77777777" w:rsidR="00B64282" w:rsidRDefault="00B64282" w:rsidP="00B64282">
      <w:pPr>
        <w:pStyle w:val="Footnotes"/>
      </w:pPr>
    </w:p>
  </w:footnote>
  <w:footnote w:id="31">
    <w:p w14:paraId="1E9BE4E1" w14:textId="77777777" w:rsidR="00B64282" w:rsidRDefault="00B64282" w:rsidP="00B64282">
      <w:pPr>
        <w:pStyle w:val="Footnotes"/>
      </w:pPr>
      <w:r>
        <w:rPr>
          <w:vertAlign w:val="superscript"/>
        </w:rPr>
        <w:footnoteRef/>
      </w:r>
      <w:r>
        <w:t> </w:t>
      </w:r>
      <w:r>
        <w:t xml:space="preserve">Because discourse is a peaceful, cooperative, conflict-free activity, as well as an inquiry into truth, </w:t>
      </w:r>
      <w:r>
        <w:rPr>
          <w:rStyle w:val="italic"/>
        </w:rPr>
        <w:t>aggression</w:t>
      </w:r>
      <w:r>
        <w:t xml:space="preserve"> itself is also incompatible with norms presupposed by all participants in discourse. Indeed, it is this realization that Professor Hoppe builds on in his brilliant “argumentation ethics” defense of individual rights. For more on argumentation ethics, </w:t>
      </w:r>
      <w:r>
        <w:rPr>
          <w:rStyle w:val="italic"/>
        </w:rPr>
        <w:t>see</w:t>
      </w:r>
      <w:r>
        <w:t xml:space="preserve"> chaps. 5–7 and 19; Hans-Hermann Hoppe, “The Ethical Justification of Capitalism and Why Socialism Is Morally Indefensible,” chap. 7 in Hoppe, </w:t>
      </w:r>
      <w:r>
        <w:rPr>
          <w:rStyle w:val="italic"/>
        </w:rPr>
        <w:t>A Theory of Socialism and Capitalism</w:t>
      </w:r>
      <w:r>
        <w:t xml:space="preserve">; </w:t>
      </w:r>
      <w:r>
        <w:rPr>
          <w:rStyle w:val="italic"/>
        </w:rPr>
        <w:t>idem</w:t>
      </w:r>
      <w:r>
        <w:t xml:space="preserve">, “From the Economics of Laissez Faire to the Ethics of Libertarianism,” “The Justice of Economic Efficiency,” and “On the Ultimate Justification of the Ethics of Private Property,” chaps. 11–13 in </w:t>
      </w:r>
      <w:r>
        <w:rPr>
          <w:rStyle w:val="HyperlinkitalicsFootnotes"/>
          <w:spacing w:val="-2"/>
        </w:rPr>
        <w:t>The Economics and Ethics of Private Property: Studies in Political Economy and Philosophy</w:t>
      </w:r>
      <w:r>
        <w:t xml:space="preserve"> (Mises, 2006 [1993]; </w:t>
      </w:r>
      <w:r>
        <w:rPr>
          <w:rStyle w:val="Hyperlink"/>
        </w:rPr>
        <w:t>www.hanshoppe.com/eepp</w:t>
      </w:r>
      <w:r>
        <w:t xml:space="preserve">); </w:t>
      </w:r>
      <w:r>
        <w:rPr>
          <w:rStyle w:val="italic"/>
        </w:rPr>
        <w:t>idem</w:t>
      </w:r>
      <w:r>
        <w:t xml:space="preserve">, “Of Common, Public, and Private Property and the Rationale for Total Privatization,” in </w:t>
      </w:r>
      <w:r>
        <w:rPr>
          <w:rStyle w:val="HyperlinkitalicsFootnotes"/>
          <w:spacing w:val="-2"/>
        </w:rPr>
        <w:t>The Great Fiction: Property, Economy, Society, and the Politics of Decline</w:t>
      </w:r>
      <w:r>
        <w:t xml:space="preserve"> (Second Expanded Edition, Mises Institute, 2021; </w:t>
      </w:r>
      <w:r>
        <w:rPr>
          <w:rStyle w:val="Hyperlink"/>
        </w:rPr>
        <w:t>www.hanshoppe.com/tgf</w:t>
      </w:r>
      <w:r>
        <w:t xml:space="preserve">); </w:t>
      </w:r>
      <w:r>
        <w:rPr>
          <w:rStyle w:val="italic"/>
        </w:rPr>
        <w:t>idem</w:t>
      </w:r>
      <w:r>
        <w:t>, “</w:t>
      </w:r>
      <w:r>
        <w:rPr>
          <w:rStyle w:val="Hyperlink"/>
        </w:rPr>
        <w:t>PFP163 | Hans Hermann Hoppe, ‘On The Ethics of Argumentation’ (PFS 2016)</w:t>
      </w:r>
      <w:r>
        <w:t xml:space="preserve">,” </w:t>
      </w:r>
      <w:r>
        <w:rPr>
          <w:rStyle w:val="italic"/>
        </w:rPr>
        <w:t>Property and Freedom Podcast</w:t>
      </w:r>
      <w:r>
        <w:t>, ep. 163 (June 30, 2022); Stephan Kinsella, “</w:t>
      </w:r>
      <w:r>
        <w:rPr>
          <w:rStyle w:val="Hyperlink"/>
        </w:rPr>
        <w:t>Argumentation Ethics and Liberty: A Concise Guide</w:t>
      </w:r>
      <w:r>
        <w:t xml:space="preserve">,” </w:t>
      </w:r>
      <w:r>
        <w:rPr>
          <w:rStyle w:val="italic"/>
        </w:rPr>
        <w:t>StephanKinsella.com</w:t>
      </w:r>
      <w:r>
        <w:t xml:space="preserve"> (May 27, 2011); </w:t>
      </w:r>
      <w:r>
        <w:rPr>
          <w:rStyle w:val="italic"/>
        </w:rPr>
        <w:t>idem</w:t>
      </w:r>
      <w:r>
        <w:t>, “</w:t>
      </w:r>
      <w:r>
        <w:rPr>
          <w:rStyle w:val="Hyperlink"/>
        </w:rPr>
        <w:t>Hoppe’s Argumentation Ethics and Its Critics</w:t>
      </w:r>
      <w:r>
        <w:t xml:space="preserve">,” </w:t>
      </w:r>
      <w:r>
        <w:rPr>
          <w:rStyle w:val="italic"/>
        </w:rPr>
        <w:t>StephanKinsella.com</w:t>
      </w:r>
      <w:r>
        <w:t xml:space="preserve"> (Aug. 11, 2015); Frank van Dun, “</w:t>
      </w:r>
      <w:r>
        <w:rPr>
          <w:rStyle w:val="Hyperlink"/>
        </w:rPr>
        <w:t>Argumentation Ethics and the Philosophy of Freedom</w:t>
      </w:r>
      <w:r>
        <w:t xml:space="preserve">,” </w:t>
      </w:r>
      <w:r>
        <w:rPr>
          <w:rStyle w:val="italic"/>
        </w:rPr>
        <w:t>Libertarian Papers</w:t>
      </w:r>
      <w:r>
        <w:t xml:space="preserve"> 1, 19 (2009; </w:t>
      </w:r>
      <w:r>
        <w:rPr>
          <w:rStyle w:val="Hyperlink"/>
        </w:rPr>
        <w:t>www.libertarianpapers.org</w:t>
      </w:r>
      <w:r>
        <w:t xml:space="preserve">); Marian </w:t>
      </w:r>
      <w:proofErr w:type="spellStart"/>
      <w:r>
        <w:t>Eabrasu</w:t>
      </w:r>
      <w:proofErr w:type="spellEnd"/>
      <w:r>
        <w:t>, “</w:t>
      </w:r>
      <w:r>
        <w:rPr>
          <w:rStyle w:val="Hyperlink"/>
        </w:rPr>
        <w:t>A Reply to the Current Critiques Formulated Against Hoppe’s Argumentation Ethics</w:t>
      </w:r>
      <w:r>
        <w:t xml:space="preserve">,” </w:t>
      </w:r>
      <w:r>
        <w:rPr>
          <w:rStyle w:val="italic"/>
        </w:rPr>
        <w:t>Libertarian Papers</w:t>
      </w:r>
      <w:r>
        <w:t xml:space="preserve"> 1, 20 (2009; </w:t>
      </w:r>
      <w:r>
        <w:rPr>
          <w:rStyle w:val="Hyperlink"/>
        </w:rPr>
        <w:t>www.libertarianpapers.org</w:t>
      </w:r>
      <w:r>
        <w:t xml:space="preserve">); Norbert </w:t>
      </w:r>
      <w:proofErr w:type="spellStart"/>
      <w:r>
        <w:t>Slenzok</w:t>
      </w:r>
      <w:proofErr w:type="spellEnd"/>
      <w:r>
        <w:t>, “</w:t>
      </w:r>
      <w:r>
        <w:rPr>
          <w:rStyle w:val="Hyperlink"/>
        </w:rPr>
        <w:t>The Libertarian Argumentation Ethics, the Transcendental Pragmatics of Language, and the Conflict-Freedom Principle</w:t>
      </w:r>
      <w:r>
        <w:t xml:space="preserve">,” </w:t>
      </w:r>
      <w:r>
        <w:rPr>
          <w:rStyle w:val="italic"/>
        </w:rPr>
        <w:t xml:space="preserve">Analiza </w:t>
      </w:r>
      <w:proofErr w:type="spellStart"/>
      <w:r>
        <w:rPr>
          <w:rStyle w:val="italic"/>
        </w:rPr>
        <w:t>i</w:t>
      </w:r>
      <w:proofErr w:type="spellEnd"/>
      <w:r>
        <w:rPr>
          <w:rStyle w:val="italic"/>
        </w:rPr>
        <w:t xml:space="preserve"> </w:t>
      </w:r>
      <w:proofErr w:type="spellStart"/>
      <w:r>
        <w:rPr>
          <w:rStyle w:val="italic"/>
        </w:rPr>
        <w:t>Egzystencja</w:t>
      </w:r>
      <w:proofErr w:type="spellEnd"/>
      <w:r>
        <w:t xml:space="preserve"> 58 (2022), 35–64.</w:t>
      </w:r>
    </w:p>
    <w:p w14:paraId="5DA84834" w14:textId="77777777" w:rsidR="00B64282" w:rsidRDefault="00B64282" w:rsidP="00B64282">
      <w:pPr>
        <w:pStyle w:val="Footnotes"/>
      </w:pPr>
    </w:p>
  </w:footnote>
  <w:footnote w:id="32">
    <w:p w14:paraId="1BE6E323" w14:textId="77777777" w:rsidR="00B64282" w:rsidRDefault="00B64282" w:rsidP="00B64282">
      <w:pPr>
        <w:pStyle w:val="Footnotes"/>
      </w:pPr>
      <w:r>
        <w:rPr>
          <w:vertAlign w:val="superscript"/>
        </w:rPr>
        <w:footnoteRef/>
      </w:r>
      <w:r>
        <w:t> </w:t>
      </w:r>
      <w:r>
        <w:t xml:space="preserve">Ayn Rand, </w:t>
      </w:r>
      <w:r>
        <w:rPr>
          <w:rStyle w:val="italic"/>
        </w:rPr>
        <w:t>Atlas Shrugged</w:t>
      </w:r>
      <w:r>
        <w:t xml:space="preserve"> (New York: Signet 1992), pp. 942–43.</w:t>
      </w:r>
    </w:p>
    <w:p w14:paraId="03A46CF1" w14:textId="77777777" w:rsidR="00B64282" w:rsidRDefault="00B64282" w:rsidP="00B64282">
      <w:pPr>
        <w:pStyle w:val="Footnotes"/>
      </w:pPr>
    </w:p>
  </w:footnote>
  <w:footnote w:id="33">
    <w:p w14:paraId="55F40801" w14:textId="77777777" w:rsidR="00B64282" w:rsidRDefault="00B64282" w:rsidP="00B64282">
      <w:pPr>
        <w:pStyle w:val="Footnotes"/>
      </w:pPr>
      <w:r>
        <w:rPr>
          <w:vertAlign w:val="superscript"/>
        </w:rPr>
        <w:footnoteRef/>
      </w:r>
      <w:r>
        <w:t> </w:t>
      </w:r>
      <w:r>
        <w:t xml:space="preserve">It is the general policy of the </w:t>
      </w:r>
      <w:r>
        <w:rPr>
          <w:rStyle w:val="italic"/>
        </w:rPr>
        <w:t>Loyola of Los Angeles Law Review</w:t>
      </w:r>
      <w:r>
        <w:t xml:space="preserve"> to use gender-neutral language. The author, however, has chosen not to conform to this policy. [Note: this footnote was inserted by the journal after I refused to change my text. I left this footnote in as reminder of the political correctness and language battles that were already beginning to rear their heads back in 1997, when the original paper was published.]</w:t>
      </w:r>
    </w:p>
    <w:p w14:paraId="0DE3FFE2" w14:textId="77777777" w:rsidR="00B64282" w:rsidRDefault="00B64282" w:rsidP="00B64282">
      <w:pPr>
        <w:pStyle w:val="Footnotes"/>
      </w:pPr>
    </w:p>
  </w:footnote>
  <w:footnote w:id="34">
    <w:p w14:paraId="7EDC3BB1" w14:textId="77777777" w:rsidR="00B64282" w:rsidRDefault="00B64282" w:rsidP="00B64282">
      <w:pPr>
        <w:pStyle w:val="Footnotes"/>
      </w:pPr>
      <w:r>
        <w:rPr>
          <w:vertAlign w:val="superscript"/>
        </w:rPr>
        <w:footnoteRef/>
      </w:r>
      <w:r>
        <w:t> </w:t>
      </w:r>
      <w:r>
        <w:t xml:space="preserve">More than once, I have had the frustrating and bewildering experience of having someone </w:t>
      </w:r>
      <w:proofErr w:type="gramStart"/>
      <w:r>
        <w:t>actually assert</w:t>
      </w:r>
      <w:proofErr w:type="gramEnd"/>
      <w:r>
        <w:t xml:space="preserve"> that consistency is not necessary for truth, that mutually contradictory ideas can be held by a person and be true at the same time. When faced with such a clearly incorrect opponent, one can do little more than try to point out the absurdity of the opponent’s position. Beyond this, though, a stubborn opponent must be viewed as having renounced reason and logic and is thus simply unable or unwilling to engage in meaningful discourse. See Peikoff, </w:t>
      </w:r>
      <w:r>
        <w:rPr>
          <w:rStyle w:val="italic"/>
        </w:rPr>
        <w:t>Objectivism: The Philosophy of Ayn Rand</w:t>
      </w:r>
      <w:r>
        <w:t>, pp. 11–12, discussing when to abandon attempts to communicate with stubbornly irrational individuals. The mere fact that individuals can choose to disregard reason and logic does not contradict the estoppel theory any more than a criminal who chooses to murder another thereby “proves” that the victim had no right to life. As R.M. Hare stated:</w:t>
      </w:r>
    </w:p>
    <w:p w14:paraId="61EAF726" w14:textId="77777777" w:rsidR="00B64282" w:rsidRDefault="00B64282" w:rsidP="00B64282">
      <w:pPr>
        <w:pStyle w:val="FootnoteBlockquotes"/>
      </w:pPr>
      <w:r>
        <w:t xml:space="preserve">Just as one cannot win a game of chess against an opponent who will not make any moves—and just as one cannot argue mathematically with a person who will not </w:t>
      </w:r>
      <w:r>
        <w:rPr>
          <w:spacing w:val="0"/>
        </w:rPr>
        <w:t>commit himself to any mathematical statements—so moral argument is impossible</w:t>
      </w:r>
      <w:r>
        <w:t xml:space="preserve"> with a man who will make no moral judgements at all.… Such a person is not entering the arena of moral dispute, and therefore it is impossible to contest with him. </w:t>
      </w:r>
      <w:r>
        <w:rPr>
          <w:rStyle w:val="italic"/>
        </w:rPr>
        <w:t>He is compelled also—and this is important—to abjure the protection of morality for his own interests.</w:t>
      </w:r>
    </w:p>
    <w:p w14:paraId="0E1864C5" w14:textId="77777777" w:rsidR="00B64282" w:rsidRDefault="00B64282" w:rsidP="00B64282">
      <w:pPr>
        <w:pStyle w:val="Footnotes"/>
        <w:ind w:firstLine="0"/>
      </w:pPr>
      <w:r>
        <w:t xml:space="preserve">R.M. Hare, </w:t>
      </w:r>
      <w:r>
        <w:rPr>
          <w:rStyle w:val="italic"/>
        </w:rPr>
        <w:t>Freedom and Reason</w:t>
      </w:r>
      <w:r>
        <w:t xml:space="preserve"> (New York: Oxford University Press, 1963), p. 101, emphasis added. For other, similar quotes, see Kinsella, “Quotes on the Logic of Liberty,” </w:t>
      </w:r>
      <w:r>
        <w:rPr>
          <w:rStyle w:val="italic"/>
        </w:rPr>
        <w:t>StephanKinsella.com</w:t>
      </w:r>
      <w:r>
        <w:t xml:space="preserve"> (June 22, 2009), the Appendix, below, and the quote by Arendt in “Dialogical Arguments for Libertarian Rights” (</w:t>
      </w:r>
      <w:proofErr w:type="spellStart"/>
      <w:r>
        <w:t>ch.</w:t>
      </w:r>
      <w:proofErr w:type="spellEnd"/>
      <w:r>
        <w:t xml:space="preserve"> 6), n.19.</w:t>
      </w:r>
    </w:p>
    <w:p w14:paraId="58DE85A0" w14:textId="77777777" w:rsidR="00B64282" w:rsidRDefault="00B64282" w:rsidP="00B64282">
      <w:pPr>
        <w:pStyle w:val="Footnotes"/>
        <w:ind w:firstLine="0"/>
      </w:pPr>
    </w:p>
  </w:footnote>
  <w:footnote w:id="35">
    <w:p w14:paraId="6BB91D78" w14:textId="77777777" w:rsidR="00B64282" w:rsidRDefault="00B64282" w:rsidP="00B64282">
      <w:pPr>
        <w:pStyle w:val="Footnotes"/>
      </w:pPr>
      <w:r>
        <w:rPr>
          <w:vertAlign w:val="superscript"/>
        </w:rPr>
        <w:footnoteRef/>
      </w:r>
      <w:r>
        <w:t> </w:t>
      </w:r>
      <w:r>
        <w:t xml:space="preserve">Ludwig Wittgenstein, </w:t>
      </w:r>
      <w:r>
        <w:rPr>
          <w:rStyle w:val="italic"/>
        </w:rPr>
        <w:t>Tractatus Logico-</w:t>
      </w:r>
      <w:proofErr w:type="spellStart"/>
      <w:r>
        <w:rPr>
          <w:rStyle w:val="italic"/>
        </w:rPr>
        <w:t>Philosophicus</w:t>
      </w:r>
      <w:proofErr w:type="spellEnd"/>
      <w:r>
        <w:t>, D.F. Pears &amp; B.F. McGuinness, trans. (London: Routledge &amp; Paul Kegan, 1961), p. 151.</w:t>
      </w:r>
    </w:p>
    <w:p w14:paraId="37AC7656" w14:textId="77777777" w:rsidR="00B64282" w:rsidRDefault="00B64282" w:rsidP="00B64282">
      <w:pPr>
        <w:pStyle w:val="Footnotes"/>
      </w:pPr>
    </w:p>
  </w:footnote>
  <w:footnote w:id="36">
    <w:p w14:paraId="6E4490BD" w14:textId="77777777" w:rsidR="00B64282" w:rsidRDefault="00B64282" w:rsidP="00B64282">
      <w:pPr>
        <w:pStyle w:val="Footnotes"/>
        <w:rPr>
          <w:spacing w:val="-1"/>
        </w:rPr>
      </w:pPr>
      <w:r>
        <w:rPr>
          <w:vertAlign w:val="superscript"/>
        </w:rPr>
        <w:footnoteRef/>
      </w:r>
      <w:r>
        <w:rPr>
          <w:spacing w:val="-1"/>
        </w:rPr>
        <w:t> </w:t>
      </w:r>
      <w:r>
        <w:rPr>
          <w:spacing w:val="-1"/>
        </w:rPr>
        <w:t xml:space="preserve">Other divisions could of course be proposed as well, but they do not result in interesting or useful results. For example, one could divide human conduct into jogging and not jogging, but to what end? Although such a division would be valid, it would produce uninteresting results, unlike the aggressive/nonaggressive division, which produces relevant results for a theory of punishment, which necessarily concerns the use of force. See Ludwig von Mises, </w:t>
      </w:r>
      <w:r>
        <w:rPr>
          <w:rStyle w:val="HyperlinkitalicsFootnotes"/>
          <w:spacing w:val="-3"/>
        </w:rPr>
        <w:t>Epistemological Problems of Economics</w:t>
      </w:r>
      <w:r>
        <w:rPr>
          <w:spacing w:val="-2"/>
        </w:rPr>
        <w:t>, 3d ed., George Reisman, trans. (Auburn, Ala.: Mises</w:t>
      </w:r>
      <w:r>
        <w:rPr>
          <w:spacing w:val="-1"/>
        </w:rPr>
        <w:t xml:space="preserve"> Institute, 2003; </w:t>
      </w:r>
      <w:r>
        <w:rPr>
          <w:rStyle w:val="Hyperlink"/>
          <w:spacing w:val="-1"/>
        </w:rPr>
        <w:t>https://mises.org/library/epistemological-problems-economics</w:t>
      </w:r>
      <w:r>
        <w:rPr>
          <w:spacing w:val="-1"/>
        </w:rPr>
        <w:t xml:space="preserve">); </w:t>
      </w:r>
      <w:r>
        <w:rPr>
          <w:rStyle w:val="italic"/>
          <w:spacing w:val="-1"/>
        </w:rPr>
        <w:t>idem</w:t>
      </w:r>
      <w:r>
        <w:rPr>
          <w:spacing w:val="-1"/>
        </w:rPr>
        <w:t xml:space="preserve">, </w:t>
      </w:r>
      <w:r>
        <w:rPr>
          <w:rStyle w:val="italic"/>
          <w:spacing w:val="-1"/>
        </w:rPr>
        <w:t>Human Action</w:t>
      </w:r>
      <w:r>
        <w:rPr>
          <w:spacing w:val="-1"/>
        </w:rPr>
        <w:t xml:space="preserve">, pp. 65–66; </w:t>
      </w:r>
      <w:r>
        <w:rPr>
          <w:rStyle w:val="italic"/>
          <w:spacing w:val="-1"/>
        </w:rPr>
        <w:t>idem</w:t>
      </w:r>
      <w:r>
        <w:rPr>
          <w:spacing w:val="-1"/>
        </w:rPr>
        <w:t xml:space="preserve">, </w:t>
      </w:r>
      <w:r>
        <w:rPr>
          <w:rStyle w:val="HyperlinkitalicsFootnotes"/>
          <w:spacing w:val="-2"/>
        </w:rPr>
        <w:t>The Ultimate Foundation of Economic Science: An Essay on Method</w:t>
      </w:r>
      <w:r>
        <w:rPr>
          <w:spacing w:val="-1"/>
        </w:rPr>
        <w:t xml:space="preserve"> (Princeton, N.J.: D. Van Nostrand Company, Inc., 1962; </w:t>
      </w:r>
      <w:r>
        <w:rPr>
          <w:rStyle w:val="Hyperlink"/>
          <w:spacing w:val="-1"/>
        </w:rPr>
        <w:t>https://mises.org/library/ultimate-foundation-economic-science</w:t>
      </w:r>
      <w:r>
        <w:rPr>
          <w:spacing w:val="-1"/>
        </w:rPr>
        <w:t>), explaining in all three works that experience can be referenced to develop interesting laws based on the fundamental axioms of praxeology, rather than irrelevant or uninteresting—though not invalid—laws). See also “Knowledge, Calculation, Conflict, and Law” (</w:t>
      </w:r>
      <w:proofErr w:type="spellStart"/>
      <w:r>
        <w:rPr>
          <w:spacing w:val="-1"/>
        </w:rPr>
        <w:t>ch.</w:t>
      </w:r>
      <w:proofErr w:type="spellEnd"/>
      <w:r>
        <w:rPr>
          <w:spacing w:val="-1"/>
        </w:rPr>
        <w:t xml:space="preserve"> 19), at n.65 and Kinsella, “</w:t>
      </w:r>
      <w:r>
        <w:rPr>
          <w:rStyle w:val="Hyperlink"/>
          <w:spacing w:val="-1"/>
        </w:rPr>
        <w:t>Mises: Keep It Interesting</w:t>
      </w:r>
      <w:r>
        <w:rPr>
          <w:spacing w:val="-1"/>
        </w:rPr>
        <w:t xml:space="preserve">,” </w:t>
      </w:r>
      <w:r>
        <w:rPr>
          <w:rStyle w:val="italic"/>
          <w:spacing w:val="-1"/>
        </w:rPr>
        <w:t>StephanKinsella.com</w:t>
      </w:r>
      <w:r>
        <w:rPr>
          <w:spacing w:val="-1"/>
        </w:rPr>
        <w:t xml:space="preserve"> (Oct. 16, 2010). </w:t>
      </w:r>
    </w:p>
    <w:p w14:paraId="57719826" w14:textId="77777777" w:rsidR="00B64282" w:rsidRDefault="00B64282" w:rsidP="00B64282">
      <w:pPr>
        <w:pStyle w:val="Footnotes"/>
      </w:pPr>
      <w:r>
        <w:t xml:space="preserve">In any event, </w:t>
      </w:r>
      <w:proofErr w:type="gramStart"/>
      <w:r>
        <w:t>it is clear that some</w:t>
      </w:r>
      <w:proofErr w:type="gramEnd"/>
      <w:r>
        <w:t xml:space="preserve"> actions can objectively be characterized as aggressive. See above, Part III.D.1.</w:t>
      </w:r>
    </w:p>
  </w:footnote>
  <w:footnote w:id="37">
    <w:p w14:paraId="3BE6BC73" w14:textId="77777777" w:rsidR="00B64282" w:rsidRDefault="00B64282" w:rsidP="00B64282">
      <w:pPr>
        <w:pStyle w:val="Footnotes"/>
      </w:pPr>
      <w:r>
        <w:rPr>
          <w:vertAlign w:val="superscript"/>
        </w:rPr>
        <w:footnoteRef/>
      </w:r>
      <w:r>
        <w:t> </w:t>
      </w:r>
      <w:r>
        <w:t xml:space="preserve">To be more precise, if society attempts to punish a person, it is either for aggressive behavior or for </w:t>
      </w:r>
      <w:proofErr w:type="gramStart"/>
      <w:r>
        <w:t>not(</w:t>
      </w:r>
      <w:proofErr w:type="gramEnd"/>
      <w:r>
        <w:t xml:space="preserve">aggressive behavior). </w:t>
      </w:r>
      <w:proofErr w:type="gramStart"/>
      <w:r>
        <w:t>Not(</w:t>
      </w:r>
      <w:proofErr w:type="gramEnd"/>
      <w:r>
        <w:t>aggressive behavior) is a residual category that includes both nonaggressive behavior, such as speaking or writing, and also nonbehavioral categories such as status, race, age, nationality, skin color, and the like.</w:t>
      </w:r>
    </w:p>
    <w:p w14:paraId="1DD86F08" w14:textId="77777777" w:rsidR="00B64282" w:rsidRDefault="00B64282" w:rsidP="00B64282">
      <w:pPr>
        <w:pStyle w:val="Footnotes"/>
      </w:pPr>
    </w:p>
  </w:footnote>
  <w:footnote w:id="38">
    <w:p w14:paraId="132844ED" w14:textId="77777777" w:rsidR="00B64282" w:rsidRDefault="00B64282" w:rsidP="00B64282">
      <w:pPr>
        <w:pStyle w:val="Footnotes"/>
      </w:pPr>
      <w:r>
        <w:rPr>
          <w:vertAlign w:val="superscript"/>
        </w:rPr>
        <w:footnoteRef/>
      </w:r>
      <w:r>
        <w:t> </w:t>
      </w:r>
      <w:r>
        <w:t>In principle, any right of a victim to punish the victimizer may be delegated to an heir or to a private agent such as a defense agency—or to the state, if government is valid, a question that does not concern us here.</w:t>
      </w:r>
    </w:p>
    <w:p w14:paraId="0AE8E25C" w14:textId="77777777" w:rsidR="00B64282" w:rsidRDefault="00B64282" w:rsidP="00B64282">
      <w:pPr>
        <w:pStyle w:val="Footnotes"/>
      </w:pPr>
    </w:p>
  </w:footnote>
  <w:footnote w:id="39">
    <w:p w14:paraId="2340A7FC" w14:textId="77777777" w:rsidR="00B64282" w:rsidRDefault="00B64282" w:rsidP="00B64282">
      <w:pPr>
        <w:pStyle w:val="Footnotes"/>
      </w:pPr>
      <w:r>
        <w:rPr>
          <w:vertAlign w:val="superscript"/>
        </w:rPr>
        <w:footnoteRef/>
      </w:r>
      <w:r>
        <w:t> </w:t>
      </w:r>
      <w:r>
        <w:t xml:space="preserve">On this subject, Alan </w:t>
      </w:r>
      <w:proofErr w:type="spellStart"/>
      <w:r>
        <w:t>Gewirth</w:t>
      </w:r>
      <w:proofErr w:type="spellEnd"/>
      <w:r>
        <w:t xml:space="preserve"> has noted:</w:t>
      </w:r>
    </w:p>
    <w:p w14:paraId="027929BF" w14:textId="77777777" w:rsidR="00B64282" w:rsidRDefault="00B64282" w:rsidP="00B64282">
      <w:pPr>
        <w:pStyle w:val="FootnoteBlockquotes"/>
        <w:rPr>
          <w:spacing w:val="0"/>
        </w:rPr>
      </w:pPr>
      <w:r>
        <w:rPr>
          <w:spacing w:val="0"/>
        </w:rPr>
        <w:t>Now these strict “</w:t>
      </w:r>
      <w:proofErr w:type="spellStart"/>
      <w:r>
        <w:rPr>
          <w:spacing w:val="0"/>
        </w:rPr>
        <w:t>oughts</w:t>
      </w:r>
      <w:proofErr w:type="spellEnd"/>
      <w:r>
        <w:rPr>
          <w:spacing w:val="0"/>
        </w:rPr>
        <w:t xml:space="preserve">” </w:t>
      </w:r>
      <w:proofErr w:type="gramStart"/>
      <w:r>
        <w:rPr>
          <w:spacing w:val="0"/>
        </w:rPr>
        <w:t>involve</w:t>
      </w:r>
      <w:proofErr w:type="gramEnd"/>
      <w:r>
        <w:rPr>
          <w:spacing w:val="0"/>
        </w:rPr>
        <w:t xml:space="preserve"> normative necessity; they state what, as of right, other persons </w:t>
      </w:r>
      <w:r>
        <w:rPr>
          <w:rStyle w:val="italic"/>
          <w:spacing w:val="0"/>
        </w:rPr>
        <w:t>must</w:t>
      </w:r>
      <w:r>
        <w:rPr>
          <w:spacing w:val="0"/>
        </w:rPr>
        <w:t xml:space="preserve"> do. Such necessity is also involved in the frequently noted use of “due” and “entitlement” as synonyms or at least as components of the substantive use of “right.” A person’s rights are what belong to him as his due, what he is entitled to, hence what he can rightly demand of others.</w:t>
      </w:r>
    </w:p>
    <w:p w14:paraId="7D432487" w14:textId="77777777" w:rsidR="00B64282" w:rsidRDefault="00B64282" w:rsidP="00B64282">
      <w:pPr>
        <w:pStyle w:val="Footnotes"/>
        <w:ind w:firstLine="0"/>
      </w:pPr>
      <w:r>
        <w:t xml:space="preserve">Alan </w:t>
      </w:r>
      <w:proofErr w:type="spellStart"/>
      <w:r>
        <w:t>Gewirth</w:t>
      </w:r>
      <w:proofErr w:type="spellEnd"/>
      <w:r>
        <w:t xml:space="preserve">, “The Basis and Content of Human Rights,” </w:t>
      </w:r>
      <w:r>
        <w:rPr>
          <w:rStyle w:val="italic"/>
        </w:rPr>
        <w:t>Georgia L. Rev.</w:t>
      </w:r>
      <w:r>
        <w:t xml:space="preserve"> 13 (1979): 1150. For discussion of Alan </w:t>
      </w:r>
      <w:proofErr w:type="spellStart"/>
      <w:r>
        <w:t>Gewirth’s</w:t>
      </w:r>
      <w:proofErr w:type="spellEnd"/>
      <w:r>
        <w:t xml:space="preserve"> justification of rights and its relation to estoppel, see “Dialogical Arguments for Libertarian Rights” (</w:t>
      </w:r>
      <w:proofErr w:type="spellStart"/>
      <w:r>
        <w:t>ch.</w:t>
      </w:r>
      <w:proofErr w:type="spellEnd"/>
      <w:r>
        <w:t xml:space="preserve"> 5), the section “Pilon and </w:t>
      </w:r>
      <w:proofErr w:type="spellStart"/>
      <w:r>
        <w:t>Gewirth</w:t>
      </w:r>
      <w:proofErr w:type="spellEnd"/>
      <w:r>
        <w:t xml:space="preserve"> on the Principle of Generic Consistency,” esp. n.39 and accompanying text; also Kinsella, “Estoppel: A New Justification for Individual Rights,” p. 71 n.9; see also Hare, </w:t>
      </w:r>
      <w:r>
        <w:rPr>
          <w:rStyle w:val="italic"/>
        </w:rPr>
        <w:t>Freedom and Reason</w:t>
      </w:r>
      <w:r>
        <w:t>, § 2.5 (discussing usage of concepts “ought” and “wrong”).</w:t>
      </w:r>
    </w:p>
    <w:p w14:paraId="13DD4C54" w14:textId="77777777" w:rsidR="00B64282" w:rsidRDefault="00B64282" w:rsidP="00B64282">
      <w:pPr>
        <w:pStyle w:val="Footnotes"/>
        <w:ind w:firstLine="0"/>
      </w:pPr>
    </w:p>
  </w:footnote>
  <w:footnote w:id="40">
    <w:p w14:paraId="2BC5F188" w14:textId="77777777" w:rsidR="00B64282" w:rsidRDefault="00B64282" w:rsidP="00B64282">
      <w:pPr>
        <w:pStyle w:val="Footnotes"/>
        <w:rPr>
          <w:spacing w:val="1"/>
        </w:rPr>
      </w:pPr>
      <w:r>
        <w:rPr>
          <w:vertAlign w:val="superscript"/>
        </w:rPr>
        <w:footnoteRef/>
      </w:r>
      <w:r>
        <w:rPr>
          <w:spacing w:val="2"/>
        </w:rPr>
        <w:t> </w:t>
      </w:r>
      <w:r>
        <w:rPr>
          <w:spacing w:val="2"/>
        </w:rPr>
        <w:t xml:space="preserve">If a skeptic were to object to the use of moral concepts here—for example, wrong, should, etc.—it should be noted that it is the criminal, </w:t>
      </w:r>
      <w:r>
        <w:rPr>
          <w:rStyle w:val="italic"/>
          <w:spacing w:val="2"/>
        </w:rPr>
        <w:t>A</w:t>
      </w:r>
      <w:r>
        <w:rPr>
          <w:spacing w:val="2"/>
        </w:rPr>
        <w:t xml:space="preserve">, who introduces normative, rights-related terminology when </w:t>
      </w:r>
      <w:r>
        <w:rPr>
          <w:rStyle w:val="italic"/>
          <w:spacing w:val="2"/>
        </w:rPr>
        <w:t>A</w:t>
      </w:r>
      <w:r>
        <w:rPr>
          <w:spacing w:val="2"/>
        </w:rPr>
        <w:t xml:space="preserve"> tries to object to </w:t>
      </w:r>
      <w:r>
        <w:rPr>
          <w:rStyle w:val="italic"/>
          <w:spacing w:val="2"/>
        </w:rPr>
        <w:t>A</w:t>
      </w:r>
      <w:r>
        <w:rPr>
          <w:spacing w:val="2"/>
        </w:rPr>
        <w:t>’s punishment. Randy Barnett makes a similar point in a different context. Professor Barnett argues that those who claim that the U.S. Constitution justifies certain government regulation of individuals are themselves making a normative claim, which may thus be examined or criticized from a moral point of view by others. See Randy E. Barnett, “</w:t>
      </w:r>
      <w:r>
        <w:rPr>
          <w:rStyle w:val="Hyperlink"/>
          <w:spacing w:val="2"/>
        </w:rPr>
        <w:t>Getting Normative: The Role of Natural Rights in Constitutional Adjudication</w:t>
      </w:r>
      <w:r>
        <w:rPr>
          <w:spacing w:val="2"/>
        </w:rPr>
        <w:t xml:space="preserve">,” </w:t>
      </w:r>
      <w:r>
        <w:rPr>
          <w:rStyle w:val="italic"/>
          <w:spacing w:val="2"/>
        </w:rPr>
        <w:t>Constitutional Commentary</w:t>
      </w:r>
      <w:r>
        <w:rPr>
          <w:spacing w:val="2"/>
        </w:rPr>
        <w:t xml:space="preserve"> 12 (1995; </w:t>
      </w:r>
      <w:r>
        <w:rPr>
          <w:rStyle w:val="Hyperlink"/>
          <w:spacing w:val="2"/>
        </w:rPr>
        <w:t>www.randybarnett.com/pre-2000</w:t>
      </w:r>
      <w:r>
        <w:rPr>
          <w:spacing w:val="2"/>
        </w:rPr>
        <w:t xml:space="preserve">): 93–122, at 100–01; see also </w:t>
      </w:r>
      <w:r>
        <w:rPr>
          <w:rStyle w:val="italic"/>
          <w:spacing w:val="2"/>
        </w:rPr>
        <w:t>idem</w:t>
      </w:r>
      <w:r>
        <w:rPr>
          <w:spacing w:val="2"/>
        </w:rPr>
        <w:t xml:space="preserve">, “The Intersection of Natural Rights and Positive Constitutional Law,” </w:t>
      </w:r>
      <w:r>
        <w:rPr>
          <w:rStyle w:val="italic"/>
          <w:spacing w:val="2"/>
        </w:rPr>
        <w:t>Connecticut L. Rev.</w:t>
      </w:r>
      <w:r>
        <w:rPr>
          <w:spacing w:val="2"/>
        </w:rPr>
        <w:t xml:space="preserve"> 25 (1993; </w:t>
      </w:r>
      <w:r>
        <w:rPr>
          <w:rStyle w:val="Hyperlink"/>
          <w:spacing w:val="2"/>
        </w:rPr>
        <w:t>http://</w:t>
      </w:r>
      <w:r>
        <w:rPr>
          <w:rStyle w:val="Hyperlink"/>
          <w:spacing w:val="1"/>
        </w:rPr>
        <w:t>www.randybarnett.com/pre-2000</w:t>
      </w:r>
      <w:r>
        <w:rPr>
          <w:spacing w:val="1"/>
        </w:rPr>
        <w:t>): 853–68, discussing the unavoidable connection between natural law and positive law in constitutional adjudication.</w:t>
      </w:r>
    </w:p>
    <w:p w14:paraId="63CFBF07" w14:textId="77777777" w:rsidR="00B64282" w:rsidRDefault="00B64282" w:rsidP="00B64282">
      <w:pPr>
        <w:pStyle w:val="Footnotes"/>
      </w:pPr>
    </w:p>
  </w:footnote>
  <w:footnote w:id="41">
    <w:p w14:paraId="33E05A77" w14:textId="5EFC3A3A" w:rsidR="00B64282" w:rsidRDefault="00B64282" w:rsidP="00B64282">
      <w:pPr>
        <w:pStyle w:val="Footnotes"/>
      </w:pPr>
      <w:r>
        <w:rPr>
          <w:vertAlign w:val="superscript"/>
        </w:rPr>
        <w:footnoteRef/>
      </w:r>
      <w:r>
        <w:t> </w:t>
      </w:r>
      <w:r>
        <w:t xml:space="preserve">If </w:t>
      </w:r>
      <w:r>
        <w:rPr>
          <w:rStyle w:val="italic"/>
        </w:rPr>
        <w:t>A</w:t>
      </w:r>
      <w:r>
        <w:t xml:space="preserve"> cannot even claim that aggression—the </w:t>
      </w:r>
      <w:r>
        <w:rPr>
          <w:rStyle w:val="italic"/>
        </w:rPr>
        <w:t>initiation</w:t>
      </w:r>
      <w:r>
        <w:t xml:space="preserve"> of force—is wrong, </w:t>
      </w:r>
      <w:proofErr w:type="gramStart"/>
      <w:r>
        <w:t xml:space="preserve">then, </w:t>
      </w:r>
      <w:r>
        <w:t xml:space="preserve"> </w:t>
      </w:r>
      <w:r>
        <w:rPr>
          <w:rStyle w:val="italic"/>
        </w:rPr>
        <w:t>a</w:t>
      </w:r>
      <w:proofErr w:type="gramEnd"/>
      <w:r>
        <w:rPr>
          <w:rStyle w:val="italic"/>
        </w:rPr>
        <w:t xml:space="preserve"> fortiori</w:t>
      </w:r>
      <w:r>
        <w:t xml:space="preserve">, </w:t>
      </w:r>
      <w:r>
        <w:rPr>
          <w:rStyle w:val="italic"/>
        </w:rPr>
        <w:t>A</w:t>
      </w:r>
      <w:r>
        <w:t xml:space="preserve"> cannot make the subsidiary claim that retaliatory or responsive force is wrong.</w:t>
      </w:r>
    </w:p>
    <w:p w14:paraId="40FB68CA" w14:textId="77777777" w:rsidR="00B64282" w:rsidRDefault="00B64282" w:rsidP="00B64282">
      <w:pPr>
        <w:pStyle w:val="Footnotes"/>
      </w:pPr>
    </w:p>
  </w:footnote>
  <w:footnote w:id="42">
    <w:p w14:paraId="07EFD3E5" w14:textId="37151467" w:rsidR="00B64282" w:rsidRDefault="00B64282" w:rsidP="00B64282">
      <w:pPr>
        <w:pStyle w:val="Footnotes"/>
        <w:rPr>
          <w:spacing w:val="1"/>
        </w:rPr>
      </w:pPr>
      <w:r>
        <w:rPr>
          <w:vertAlign w:val="superscript"/>
        </w:rPr>
        <w:footnoteRef/>
      </w:r>
      <w:r>
        <w:rPr>
          <w:spacing w:val="1"/>
        </w:rPr>
        <w:t> </w:t>
      </w:r>
      <w:r>
        <w:rPr>
          <w:spacing w:val="1"/>
        </w:rPr>
        <w:t xml:space="preserve">Although </w:t>
      </w:r>
      <w:r>
        <w:rPr>
          <w:rStyle w:val="italic"/>
          <w:spacing w:val="1"/>
        </w:rPr>
        <w:t>A</w:t>
      </w:r>
      <w:r>
        <w:rPr>
          <w:spacing w:val="1"/>
        </w:rPr>
        <w:t xml:space="preserve"> may not complain that his imminent execution by </w:t>
      </w:r>
      <w:r>
        <w:rPr>
          <w:rStyle w:val="italic"/>
          <w:spacing w:val="1"/>
        </w:rPr>
        <w:t>C</w:t>
      </w:r>
      <w:r>
        <w:rPr>
          <w:spacing w:val="1"/>
        </w:rPr>
        <w:t xml:space="preserve"> would violate his rights, this does not necessarily mean that </w:t>
      </w:r>
      <w:r>
        <w:rPr>
          <w:rStyle w:val="italic"/>
          <w:spacing w:val="1"/>
        </w:rPr>
        <w:t>C</w:t>
      </w:r>
      <w:r>
        <w:rPr>
          <w:spacing w:val="1"/>
        </w:rPr>
        <w:t xml:space="preserve"> may legitimately execute him. It only means that </w:t>
      </w:r>
      <w:r>
        <w:rPr>
          <w:rStyle w:val="italic"/>
          <w:spacing w:val="1"/>
        </w:rPr>
        <w:t>A</w:t>
      </w:r>
      <w:r>
        <w:rPr>
          <w:spacing w:val="1"/>
        </w:rPr>
        <w:t xml:space="preserve">’s complaint may not be </w:t>
      </w:r>
      <w:proofErr w:type="gramStart"/>
      <w:r>
        <w:rPr>
          <w:spacing w:val="1"/>
        </w:rPr>
        <w:t>heard</w:t>
      </w:r>
      <w:proofErr w:type="gramEnd"/>
      <w:r>
        <w:rPr>
          <w:spacing w:val="1"/>
        </w:rPr>
        <w:t xml:space="preserve"> and that </w:t>
      </w:r>
      <w:r>
        <w:rPr>
          <w:rStyle w:val="italic"/>
          <w:spacing w:val="1"/>
        </w:rPr>
        <w:t>A</w:t>
      </w:r>
      <w:r>
        <w:rPr>
          <w:spacing w:val="1"/>
        </w:rPr>
        <w:t xml:space="preserve">’s rights are not violated by being executed. A third party </w:t>
      </w:r>
      <w:r>
        <w:rPr>
          <w:rStyle w:val="italic"/>
          <w:spacing w:val="1"/>
        </w:rPr>
        <w:t>T</w:t>
      </w:r>
      <w:r>
        <w:rPr>
          <w:spacing w:val="1"/>
        </w:rPr>
        <w:t xml:space="preserve">, however, may have another legitimate complaint about A’s execution, one which does not assert </w:t>
      </w:r>
      <w:r>
        <w:rPr>
          <w:rStyle w:val="italic"/>
          <w:spacing w:val="1"/>
        </w:rPr>
        <w:t>A</w:t>
      </w:r>
      <w:r>
        <w:rPr>
          <w:spacing w:val="1"/>
        </w:rPr>
        <w:t xml:space="preserve">’s rights but rather takes other factors, such as the special nature of the defense agency </w:t>
      </w:r>
      <w:r>
        <w:rPr>
          <w:rStyle w:val="italic"/>
          <w:spacing w:val="1"/>
        </w:rPr>
        <w:t>C</w:t>
      </w:r>
      <w:r>
        <w:rPr>
          <w:spacing w:val="1"/>
        </w:rPr>
        <w:t xml:space="preserve">, into account—especially if the defense agency is a </w:t>
      </w:r>
      <w:proofErr w:type="gramStart"/>
      <w:r>
        <w:rPr>
          <w:spacing w:val="1"/>
        </w:rPr>
        <w:t xml:space="preserve">government </w:t>
      </w:r>
      <w:r>
        <w:rPr>
          <w:spacing w:val="1"/>
        </w:rPr>
        <w:t xml:space="preserve"> </w:t>
      </w:r>
      <w:r>
        <w:rPr>
          <w:spacing w:val="1"/>
        </w:rPr>
        <w:t>(</w:t>
      </w:r>
      <w:proofErr w:type="gramEnd"/>
      <w:r>
        <w:rPr>
          <w:spacing w:val="1"/>
        </w:rPr>
        <w:t xml:space="preserve">a state). For example, </w:t>
      </w:r>
      <w:r>
        <w:rPr>
          <w:rStyle w:val="italic"/>
          <w:spacing w:val="1"/>
        </w:rPr>
        <w:t>T</w:t>
      </w:r>
      <w:r>
        <w:rPr>
          <w:spacing w:val="1"/>
        </w:rPr>
        <w:t xml:space="preserve"> may argue that the state, as an inherently dangerous and powerful entity, should not be allowed to kill even murderers because giving such power to the state is so inherently dangerous and threatening to innocent, non-estopped people, like </w:t>
      </w:r>
      <w:r>
        <w:rPr>
          <w:rStyle w:val="italic"/>
          <w:spacing w:val="1"/>
        </w:rPr>
        <w:t>T</w:t>
      </w:r>
      <w:r>
        <w:rPr>
          <w:spacing w:val="1"/>
        </w:rPr>
        <w:t xml:space="preserve">, that it amounts to an aggression and a violation of </w:t>
      </w:r>
      <w:r>
        <w:rPr>
          <w:rStyle w:val="italic"/>
          <w:spacing w:val="1"/>
        </w:rPr>
        <w:t>T</w:t>
      </w:r>
      <w:r>
        <w:rPr>
          <w:spacing w:val="1"/>
        </w:rPr>
        <w:t xml:space="preserve">’s rights. Further, if the state deems itself to be </w:t>
      </w:r>
      <w:r>
        <w:rPr>
          <w:rStyle w:val="italic"/>
          <w:spacing w:val="1"/>
        </w:rPr>
        <w:t>B</w:t>
      </w:r>
      <w:r>
        <w:rPr>
          <w:spacing w:val="1"/>
        </w:rPr>
        <w:t xml:space="preserve">’s agent, </w:t>
      </w:r>
      <w:r>
        <w:rPr>
          <w:rStyle w:val="italic"/>
          <w:spacing w:val="1"/>
        </w:rPr>
        <w:t>B</w:t>
      </w:r>
      <w:r>
        <w:rPr>
          <w:spacing w:val="1"/>
        </w:rPr>
        <w:t xml:space="preserve">’s heir may conceivably object to the state’s execution of </w:t>
      </w:r>
      <w:r>
        <w:rPr>
          <w:rStyle w:val="italic"/>
          <w:spacing w:val="1"/>
        </w:rPr>
        <w:t>A</w:t>
      </w:r>
      <w:r>
        <w:rPr>
          <w:spacing w:val="1"/>
        </w:rPr>
        <w:t xml:space="preserve">, claiming the sole right to execute or otherwise punish </w:t>
      </w:r>
      <w:r>
        <w:rPr>
          <w:rStyle w:val="italic"/>
          <w:spacing w:val="1"/>
        </w:rPr>
        <w:t>A</w:t>
      </w:r>
      <w:r>
        <w:rPr>
          <w:spacing w:val="1"/>
        </w:rPr>
        <w:t xml:space="preserve">. For lesser crimes, such as assault, where the victim </w:t>
      </w:r>
      <w:r>
        <w:rPr>
          <w:rStyle w:val="italic"/>
          <w:spacing w:val="1"/>
        </w:rPr>
        <w:t>B</w:t>
      </w:r>
      <w:r>
        <w:rPr>
          <w:spacing w:val="1"/>
        </w:rPr>
        <w:t xml:space="preserve"> remains alive, </w:t>
      </w:r>
      <w:r>
        <w:rPr>
          <w:rStyle w:val="italic"/>
          <w:spacing w:val="1"/>
        </w:rPr>
        <w:t>B</w:t>
      </w:r>
      <w:r>
        <w:rPr>
          <w:spacing w:val="1"/>
        </w:rPr>
        <w:t xml:space="preserve"> himself may object to the state’s administering punishment to the aggressor.</w:t>
      </w:r>
    </w:p>
    <w:p w14:paraId="16A0A8BF" w14:textId="77777777" w:rsidR="00B64282" w:rsidRDefault="00B64282" w:rsidP="00B64282">
      <w:pPr>
        <w:pStyle w:val="Footnotes"/>
      </w:pPr>
      <w:r>
        <w:t xml:space="preserve">Similarly, after applying estoppel solely to the relationship between the defense agency, </w:t>
      </w:r>
      <w:r>
        <w:rPr>
          <w:rStyle w:val="italic"/>
        </w:rPr>
        <w:t>C</w:t>
      </w:r>
      <w:r>
        <w:t xml:space="preserve">, and a defendant, </w:t>
      </w:r>
      <w:r>
        <w:rPr>
          <w:rStyle w:val="italic"/>
        </w:rPr>
        <w:t>A</w:t>
      </w:r>
      <w:r>
        <w:t xml:space="preserve">, the exclusionary rule—whereby a court may not use evidence if it is illegally obtained—would fall. If </w:t>
      </w:r>
      <w:r>
        <w:rPr>
          <w:rStyle w:val="italic"/>
        </w:rPr>
        <w:t>A</w:t>
      </w:r>
      <w:r>
        <w:t xml:space="preserve"> </w:t>
      </w:r>
      <w:proofErr w:type="gramStart"/>
      <w:r>
        <w:t>actually committed</w:t>
      </w:r>
      <w:proofErr w:type="gramEnd"/>
      <w:r>
        <w:t xml:space="preserve"> the crime, it cannot violate his rights for the court to discover this fact, even if the evidence was illegally obtained; </w:t>
      </w:r>
      <w:r>
        <w:rPr>
          <w:rStyle w:val="italic"/>
        </w:rPr>
        <w:t>A</w:t>
      </w:r>
      <w:r>
        <w:t xml:space="preserve"> would still be estopped from complaining about his punishment. However, a third party can conceivably argue that it is too dangerous for a defense agency, </w:t>
      </w:r>
      <w:r>
        <w:rPr>
          <w:rStyle w:val="italic"/>
        </w:rPr>
        <w:t>C</w:t>
      </w:r>
      <w:r>
        <w:t xml:space="preserve">, to have a system which gives it incentives to illegally search people and that the exclusionary rule is therefore a necessary procedural or prophylactic rule required </w:t>
      </w:r>
      <w:proofErr w:type="gramStart"/>
      <w:r>
        <w:t>in order to</w:t>
      </w:r>
      <w:proofErr w:type="gramEnd"/>
      <w:r>
        <w:t xml:space="preserve"> protect </w:t>
      </w:r>
      <w:r>
        <w:rPr>
          <w:rStyle w:val="italic"/>
        </w:rPr>
        <w:t>innocent</w:t>
      </w:r>
      <w:r>
        <w:t xml:space="preserve"> people from </w:t>
      </w:r>
      <w:r>
        <w:rPr>
          <w:rStyle w:val="italic"/>
        </w:rPr>
        <w:t>C</w:t>
      </w:r>
      <w:r>
        <w:t xml:space="preserve">’s dangerousness—this is especially true if </w:t>
      </w:r>
      <w:r>
        <w:rPr>
          <w:rStyle w:val="italic"/>
        </w:rPr>
        <w:t>C</w:t>
      </w:r>
      <w:r>
        <w:t xml:space="preserve"> is a </w:t>
      </w:r>
      <w:r>
        <w:rPr>
          <w:rStyle w:val="italic"/>
        </w:rPr>
        <w:t>governmental</w:t>
      </w:r>
      <w:r>
        <w:t xml:space="preserve"> defense agency. In essence, the argument would be that prosecutions by the state or other defense agencies, without an exclusionary rule to temper the danger of such prosecutions, could amount to aggression or a standing threat against innocent third parties. For a related discussion, see Part III.D.3, and note 50, below. See also Patrick Tinsley, Stephan Kinsella &amp; Walter Block, “</w:t>
      </w:r>
      <w:r>
        <w:rPr>
          <w:rStyle w:val="Hyperlink"/>
        </w:rPr>
        <w:t>In Defense of Evidence and Against the Exclusionary Rule: A Libertarian Approach</w:t>
      </w:r>
      <w:r>
        <w:t xml:space="preserve">,” </w:t>
      </w:r>
      <w:r>
        <w:rPr>
          <w:rStyle w:val="italic"/>
        </w:rPr>
        <w:t>Southern U. L. Rev.</w:t>
      </w:r>
      <w:r>
        <w:t xml:space="preserve">, 32 no. 1 (2004; </w:t>
      </w:r>
      <w:r>
        <w:rPr>
          <w:rStyle w:val="Hyperlink"/>
        </w:rPr>
        <w:t>www.walterblock.com/publications</w:t>
      </w:r>
      <w:r>
        <w:t>), pp. 63-80.</w:t>
      </w:r>
    </w:p>
    <w:p w14:paraId="2C7675D7" w14:textId="77777777" w:rsidR="00B64282" w:rsidRDefault="00B64282" w:rsidP="00B64282">
      <w:pPr>
        <w:pStyle w:val="Footnotes"/>
      </w:pPr>
      <w:r>
        <w:t xml:space="preserve">Whether such arguments of third parties could be fully developed is a separate question beyond the scope of this chapter. I merely wish to point out that other complaints about certain government actions are not automatically barred just because the specific criminal cannot complain. Just because </w:t>
      </w:r>
      <w:r>
        <w:rPr>
          <w:rStyle w:val="italic"/>
        </w:rPr>
        <w:t>C</w:t>
      </w:r>
      <w:r>
        <w:t xml:space="preserve">’s imprisonment of </w:t>
      </w:r>
      <w:r>
        <w:rPr>
          <w:rStyle w:val="italic"/>
        </w:rPr>
        <w:t>A</w:t>
      </w:r>
      <w:r>
        <w:t xml:space="preserve"> does not aggress against </w:t>
      </w:r>
      <w:r>
        <w:rPr>
          <w:rStyle w:val="italic"/>
        </w:rPr>
        <w:t>A</w:t>
      </w:r>
      <w:r>
        <w:t xml:space="preserve"> does not necessarily show that such action does not aggress against others.</w:t>
      </w:r>
    </w:p>
  </w:footnote>
  <w:footnote w:id="43">
    <w:p w14:paraId="57937366" w14:textId="3EBC77FA" w:rsidR="00B64282" w:rsidRDefault="00B64282" w:rsidP="00B64282">
      <w:pPr>
        <w:pStyle w:val="Footnotes"/>
      </w:pPr>
      <w:r>
        <w:rPr>
          <w:vertAlign w:val="superscript"/>
        </w:rPr>
        <w:footnoteRef/>
      </w:r>
      <w:r>
        <w:t> </w:t>
      </w:r>
      <w:r>
        <w:t>See, e.g., Rothbard, “</w:t>
      </w:r>
      <w:r>
        <w:rPr>
          <w:rStyle w:val="Hyperlink"/>
        </w:rPr>
        <w:t>Self-Defense</w:t>
      </w:r>
      <w:r>
        <w:t xml:space="preserve">,” in </w:t>
      </w:r>
      <w:r>
        <w:rPr>
          <w:rStyle w:val="italic"/>
        </w:rPr>
        <w:t>The Ethics of Liberty</w:t>
      </w:r>
      <w:r>
        <w:t xml:space="preserve"> (</w:t>
      </w:r>
      <w:r>
        <w:rPr>
          <w:rStyle w:val="Hyperlink"/>
        </w:rPr>
        <w:t>https://mises.org/library/right-self-defense</w:t>
      </w:r>
      <w:r>
        <w:t xml:space="preserve">); Thomas Aquinas, </w:t>
      </w:r>
      <w:r>
        <w:rPr>
          <w:rStyle w:val="italic"/>
        </w:rPr>
        <w:t>Summa Theologica</w:t>
      </w:r>
      <w:r>
        <w:t xml:space="preserve"> (New Advent, </w:t>
      </w:r>
      <w:r>
        <w:rPr>
          <w:rStyle w:val="Hyperlink"/>
        </w:rPr>
        <w:t>https://www.newadvent.org/summa</w:t>
      </w:r>
      <w:r>
        <w:t xml:space="preserve">), </w:t>
      </w:r>
      <w:r>
        <w:rPr>
          <w:rStyle w:val="italic"/>
        </w:rPr>
        <w:t xml:space="preserve">Secunda </w:t>
      </w:r>
      <w:proofErr w:type="spellStart"/>
      <w:r>
        <w:rPr>
          <w:rStyle w:val="italic"/>
        </w:rPr>
        <w:t>Secundæ</w:t>
      </w:r>
      <w:proofErr w:type="spellEnd"/>
      <w:r>
        <w:rPr>
          <w:rStyle w:val="italic"/>
        </w:rPr>
        <w:t xml:space="preserve"> Partis</w:t>
      </w:r>
      <w:r>
        <w:t>, Question 64, art. 7:</w:t>
      </w:r>
    </w:p>
    <w:p w14:paraId="4EBEF608" w14:textId="77777777" w:rsidR="00B64282" w:rsidRDefault="00B64282" w:rsidP="00B64282">
      <w:pPr>
        <w:pStyle w:val="FootnoteBlockquotes"/>
      </w:pPr>
      <w:r>
        <w:t xml:space="preserve">Nothing hinders one act from having two effects, only one of which is intended, while the other is beside the intention. Now moral acts take their species according to what is intended, and not according to what is beside the intention, since this is accidental…. </w:t>
      </w:r>
      <w:proofErr w:type="gramStart"/>
      <w:r>
        <w:t>Accordingly</w:t>
      </w:r>
      <w:proofErr w:type="gramEnd"/>
      <w:r>
        <w:t xml:space="preserve"> the act of self-defense may have two effects, one is the saving of one’s life, the other is the slaying of the aggressor. </w:t>
      </w:r>
      <w:proofErr w:type="gramStart"/>
      <w:r>
        <w:t>Therefore</w:t>
      </w:r>
      <w:proofErr w:type="gramEnd"/>
      <w:r>
        <w:t xml:space="preserve"> this act, since one’s intention is to save one’s own life, is not unlawful, seeing that it is natural to everything to keep itself in “being,” as far as possible. And yet, though proceeding from a good intention, an act may be rendered unlawful, if it be out of proportion to the end. Wherefore if a man, in self-defense, uses more than necessary violence, it will be unlawful: whereas if he </w:t>
      </w:r>
      <w:proofErr w:type="gramStart"/>
      <w:r>
        <w:t>repel</w:t>
      </w:r>
      <w:proofErr w:type="gramEnd"/>
      <w:r>
        <w:t xml:space="preserve"> force with moderation his defense will be lawful, because … “it is lawful to repel force by force, provided one does not exceed the limits of a blameless defense.” Nor is it necessary for salvation that a man omit the act of moderate self-defense </w:t>
      </w:r>
      <w:proofErr w:type="gramStart"/>
      <w:r>
        <w:t>in order to</w:t>
      </w:r>
      <w:proofErr w:type="gramEnd"/>
      <w:r>
        <w:t xml:space="preserve"> avoid killing the other man, since one is bound to take more care of one’s own life than of another’s.</w:t>
      </w:r>
    </w:p>
    <w:p w14:paraId="0EF172EA" w14:textId="77777777" w:rsidR="00B64282" w:rsidRDefault="00B64282" w:rsidP="00B64282">
      <w:pPr>
        <w:pStyle w:val="FootnoteBlockquotes"/>
      </w:pPr>
    </w:p>
  </w:footnote>
  <w:footnote w:id="44">
    <w:p w14:paraId="5FD244F6" w14:textId="77777777" w:rsidR="00B64282" w:rsidRDefault="00B64282" w:rsidP="00B64282">
      <w:pPr>
        <w:pStyle w:val="Footnotes"/>
        <w:rPr>
          <w:spacing w:val="-1"/>
        </w:rPr>
      </w:pPr>
      <w:r>
        <w:rPr>
          <w:vertAlign w:val="superscript"/>
        </w:rPr>
        <w:footnoteRef/>
      </w:r>
      <w:r>
        <w:rPr>
          <w:spacing w:val="-1"/>
        </w:rPr>
        <w:t> </w:t>
      </w:r>
      <w:r>
        <w:rPr>
          <w:spacing w:val="-1"/>
        </w:rPr>
        <w:t xml:space="preserve">For a recent book-length treatment of ideas related to Hoppe’s argumentation ethics and my estoppel approach advanced in this chapter, see Pavel </w:t>
      </w:r>
      <w:proofErr w:type="spellStart"/>
      <w:r>
        <w:rPr>
          <w:spacing w:val="-1"/>
        </w:rPr>
        <w:t>Slutskiy</w:t>
      </w:r>
      <w:proofErr w:type="spellEnd"/>
      <w:r>
        <w:rPr>
          <w:spacing w:val="-1"/>
        </w:rPr>
        <w:t xml:space="preserve">, </w:t>
      </w:r>
      <w:r>
        <w:rPr>
          <w:rStyle w:val="italic"/>
          <w:spacing w:val="-1"/>
        </w:rPr>
        <w:t>Communication and Libertarianism</w:t>
      </w:r>
      <w:r>
        <w:rPr>
          <w:spacing w:val="-1"/>
        </w:rPr>
        <w:t xml:space="preserve"> (Springer, 2021). In revising this chapter, this footnote grew to unmanageable length. I have placed the relevant commentary in the Appendix, below.</w:t>
      </w:r>
    </w:p>
    <w:p w14:paraId="20AC75EC" w14:textId="77777777" w:rsidR="00B64282" w:rsidRDefault="00B64282" w:rsidP="00B64282">
      <w:pPr>
        <w:pStyle w:val="Footnotes"/>
      </w:pPr>
    </w:p>
  </w:footnote>
  <w:footnote w:id="45">
    <w:p w14:paraId="1334AF6F" w14:textId="77777777" w:rsidR="00B64282" w:rsidRDefault="00B64282" w:rsidP="00B64282">
      <w:pPr>
        <w:pStyle w:val="Footnotes"/>
      </w:pPr>
      <w:r>
        <w:rPr>
          <w:vertAlign w:val="superscript"/>
        </w:rPr>
        <w:footnoteRef/>
      </w:r>
      <w:r>
        <w:t> </w:t>
      </w:r>
      <w:r>
        <w:t xml:space="preserve">Hoppe, </w:t>
      </w:r>
      <w:r>
        <w:rPr>
          <w:rStyle w:val="italic"/>
        </w:rPr>
        <w:t>A Theory of Socialism and Capitalism</w:t>
      </w:r>
      <w:r>
        <w:t xml:space="preserve">, p. 157, footnote omitted; see also n. 119 </w:t>
      </w:r>
      <w:r>
        <w:rPr>
          <w:rStyle w:val="italic"/>
        </w:rPr>
        <w:t>et pass.</w:t>
      </w:r>
      <w:r>
        <w:t xml:space="preserve"> For further discussion of universalizability, see Hare, </w:t>
      </w:r>
      <w:r>
        <w:rPr>
          <w:rStyle w:val="italic"/>
        </w:rPr>
        <w:t>Freedom and Reason</w:t>
      </w:r>
      <w:r>
        <w:t xml:space="preserve">, §§ 2.2, 2.7, 3.2, 6.2, 6.3, 6.8, 7.3, 11.6, </w:t>
      </w:r>
      <w:r>
        <w:rPr>
          <w:rStyle w:val="italic"/>
        </w:rPr>
        <w:t>et pass.</w:t>
      </w:r>
      <w:r>
        <w:t>; also Stephan Kinsella, “</w:t>
      </w:r>
      <w:r>
        <w:rPr>
          <w:rStyle w:val="Hyperlink"/>
        </w:rPr>
        <w:t>The problem of particularistic ethics or, why everyone really has to admit the validity of the universalizability principle</w:t>
      </w:r>
      <w:r>
        <w:t xml:space="preserve">,” </w:t>
      </w:r>
      <w:r>
        <w:rPr>
          <w:rStyle w:val="italic"/>
        </w:rPr>
        <w:t>StephanKinsella.com</w:t>
      </w:r>
      <w:r>
        <w:t xml:space="preserve"> (Nov. 10, 2011); “Dialogical Arguments for Libertarian Rights” (</w:t>
      </w:r>
      <w:proofErr w:type="spellStart"/>
      <w:r>
        <w:t>ch.</w:t>
      </w:r>
      <w:proofErr w:type="spellEnd"/>
      <w:r>
        <w:t xml:space="preserve"> 6), notes 42–43 and accompanying text; “What Libertarianism Is” (</w:t>
      </w:r>
      <w:proofErr w:type="spellStart"/>
      <w:r>
        <w:t>ch.</w:t>
      </w:r>
      <w:proofErr w:type="spellEnd"/>
      <w:r>
        <w:t xml:space="preserve"> 2), the section “Self-ownership and Conflict Avoidance”; and “How We Come to Own Ourselves” (</w:t>
      </w:r>
      <w:proofErr w:type="spellStart"/>
      <w:r>
        <w:t>ch.</w:t>
      </w:r>
      <w:proofErr w:type="spellEnd"/>
      <w:r>
        <w:t xml:space="preserve"> 4), n.15.</w:t>
      </w:r>
    </w:p>
    <w:p w14:paraId="673B00DA" w14:textId="77777777" w:rsidR="00B64282" w:rsidRDefault="00B64282" w:rsidP="00B64282">
      <w:pPr>
        <w:pStyle w:val="Footnotes"/>
      </w:pPr>
    </w:p>
  </w:footnote>
  <w:footnote w:id="46">
    <w:p w14:paraId="5D9C88A1" w14:textId="77777777" w:rsidR="00B64282" w:rsidRDefault="00B64282" w:rsidP="00B64282">
      <w:pPr>
        <w:pStyle w:val="Footnotes"/>
      </w:pPr>
      <w:r>
        <w:rPr>
          <w:vertAlign w:val="superscript"/>
        </w:rPr>
        <w:footnoteRef/>
      </w:r>
      <w:r>
        <w:t> </w:t>
      </w:r>
      <w:r>
        <w:t xml:space="preserve">Hoppe, </w:t>
      </w:r>
      <w:r>
        <w:rPr>
          <w:rStyle w:val="italic"/>
        </w:rPr>
        <w:t>The Economics and Ethics of Private Property</w:t>
      </w:r>
      <w:r>
        <w:t>, p. 316.</w:t>
      </w:r>
    </w:p>
    <w:p w14:paraId="593275BC" w14:textId="77777777" w:rsidR="00B64282" w:rsidRDefault="00B64282" w:rsidP="00B64282">
      <w:pPr>
        <w:pStyle w:val="Footnotes"/>
      </w:pPr>
    </w:p>
  </w:footnote>
  <w:footnote w:id="47">
    <w:p w14:paraId="7FDB80B0" w14:textId="77777777" w:rsidR="00B64282" w:rsidRDefault="00B64282" w:rsidP="00B64282">
      <w:pPr>
        <w:pStyle w:val="Footnotes"/>
      </w:pPr>
      <w:r>
        <w:rPr>
          <w:vertAlign w:val="superscript"/>
        </w:rPr>
        <w:footnoteRef/>
      </w:r>
      <w:r>
        <w:t> </w:t>
      </w:r>
      <w:r>
        <w:t xml:space="preserve">Hare, </w:t>
      </w:r>
      <w:r>
        <w:rPr>
          <w:rStyle w:val="italic"/>
        </w:rPr>
        <w:t>Freedom and Reason</w:t>
      </w:r>
      <w:r>
        <w:t>, § 3.2, p. 32; see also ibid., § 11.6, p. 216 (“It is part of the meanings of the moral words that we are logically prohibited from making different moral judgements about two cases when we cannot adduce any difference between the cases which is the ground for the difference in moral judgements.”).</w:t>
      </w:r>
    </w:p>
    <w:p w14:paraId="22E4E683" w14:textId="77777777" w:rsidR="00B64282" w:rsidRDefault="00B64282" w:rsidP="00B64282">
      <w:pPr>
        <w:pStyle w:val="Footnotes"/>
      </w:pPr>
    </w:p>
  </w:footnote>
  <w:footnote w:id="48">
    <w:p w14:paraId="426BEBC2" w14:textId="77777777" w:rsidR="00B64282" w:rsidRDefault="00B64282" w:rsidP="00B64282">
      <w:pPr>
        <w:pStyle w:val="Footnotes"/>
      </w:pPr>
      <w:r>
        <w:rPr>
          <w:vertAlign w:val="superscript"/>
        </w:rPr>
        <w:footnoteRef/>
      </w:r>
      <w:r>
        <w:t> </w:t>
      </w:r>
      <w:r>
        <w:t>As Hoppe notes, particularistic rules,</w:t>
      </w:r>
    </w:p>
    <w:p w14:paraId="414045D9" w14:textId="77777777" w:rsidR="00B64282" w:rsidRDefault="00B64282" w:rsidP="00B64282">
      <w:pPr>
        <w:pStyle w:val="FootnoteBlockquotes"/>
      </w:pPr>
      <w:r>
        <w:t xml:space="preserve">which specify different rights or obligations for different classes of people, have no chance of being accepted as fair by every potential participant in an argumentation for simply formal reasons. Unless the distinction made between different classes of people happens to be such that it is acceptable to both sides as grounded </w:t>
      </w:r>
      <w:proofErr w:type="gramStart"/>
      <w:r>
        <w:t>in the nature of things</w:t>
      </w:r>
      <w:proofErr w:type="gramEnd"/>
      <w:r>
        <w:t>, such rules would not be acceptable because they would imply that one group is awarded legal privileges at the expense of complementary discriminations against another group. Some people, either those who are allowed to do something or those who are not, therefore could not agree that these were fair rules.</w:t>
      </w:r>
    </w:p>
    <w:p w14:paraId="59C45D8A" w14:textId="77777777" w:rsidR="00B64282" w:rsidRDefault="00B64282" w:rsidP="00B64282">
      <w:pPr>
        <w:pStyle w:val="Footnotes"/>
        <w:ind w:firstLine="0"/>
      </w:pPr>
      <w:r>
        <w:t xml:space="preserve">Hoppe, </w:t>
      </w:r>
      <w:r>
        <w:rPr>
          <w:rStyle w:val="italic"/>
        </w:rPr>
        <w:t>A Theory of Socialism and Capitalism</w:t>
      </w:r>
      <w:r>
        <w:t>, pp. 164–65, footnote omitted.</w:t>
      </w:r>
    </w:p>
    <w:p w14:paraId="5D454A74" w14:textId="77777777" w:rsidR="00B64282" w:rsidRDefault="00B64282" w:rsidP="00B64282">
      <w:pPr>
        <w:pStyle w:val="Footnotes"/>
        <w:ind w:firstLine="0"/>
      </w:pPr>
    </w:p>
  </w:footnote>
  <w:footnote w:id="49">
    <w:p w14:paraId="46461D61" w14:textId="77777777" w:rsidR="00B64282" w:rsidRDefault="00B64282" w:rsidP="00B64282">
      <w:pPr>
        <w:pStyle w:val="Footnotes"/>
      </w:pPr>
      <w:r>
        <w:rPr>
          <w:vertAlign w:val="superscript"/>
        </w:rPr>
        <w:footnoteRef/>
      </w:r>
      <w:r>
        <w:t> </w:t>
      </w:r>
      <w:r>
        <w:t xml:space="preserve">See Hare, </w:t>
      </w:r>
      <w:r>
        <w:rPr>
          <w:rStyle w:val="italic"/>
        </w:rPr>
        <w:t>Freedom and Reason</w:t>
      </w:r>
      <w:r>
        <w:t>, § 6.9, p. 108, discussing the simultaneity requirement with respect to contradictory statements.</w:t>
      </w:r>
    </w:p>
    <w:p w14:paraId="0AE1F8E5" w14:textId="77777777" w:rsidR="00B64282" w:rsidRDefault="00B64282" w:rsidP="00B64282">
      <w:pPr>
        <w:pStyle w:val="Footnotes"/>
      </w:pPr>
    </w:p>
  </w:footnote>
  <w:footnote w:id="50">
    <w:p w14:paraId="1A1616D3" w14:textId="77777777" w:rsidR="00B64282" w:rsidRDefault="00B64282" w:rsidP="00B64282">
      <w:pPr>
        <w:pStyle w:val="Footnotes"/>
      </w:pPr>
      <w:r>
        <w:rPr>
          <w:vertAlign w:val="superscript"/>
        </w:rPr>
        <w:footnoteRef/>
      </w:r>
      <w:r>
        <w:t> </w:t>
      </w:r>
      <w:r>
        <w:t xml:space="preserve">This is not to say that the passage of time cannot be relevant for other reasons. Just as capital punishment does not violate the rights of the executed murderer, it can conceivably be objected to on the grounds of the danger posed by such a practice to innocent people. See note 42, above. </w:t>
      </w:r>
      <w:proofErr w:type="gramStart"/>
      <w:r>
        <w:t>So</w:t>
      </w:r>
      <w:proofErr w:type="gramEnd"/>
      <w:r>
        <w:t xml:space="preserve"> punishment after a long period of time does not violate the rights of actually guilty criminals but may arguably constitute a threat to innocent people—because of the relative unreliability of stale evidence, faded memories, etc. But these are procedural or structural, not substantive, concerns, the discussion of which is beyond the scope of this chapter. My focus here is the basic principles of rights that must underlie any general justification of punishment, even if other procedural or systemic features also need to be </w:t>
      </w:r>
      <w:proofErr w:type="gramStart"/>
      <w:r>
        <w:t>taken into account</w:t>
      </w:r>
      <w:proofErr w:type="gramEnd"/>
      <w:r>
        <w:t xml:space="preserve"> after a prima facie right to punish is established. Thus, this chapter also does not consider such questions as the danger of being a judge in one’s own case, as these are separate concerns. For discussion of the risks of individuals acting as judge, jury, and executioner, see Robert Nozick, </w:t>
      </w:r>
      <w:r>
        <w:rPr>
          <w:rStyle w:val="italic"/>
        </w:rPr>
        <w:t>Anarchy, State, and Utopia</w:t>
      </w:r>
      <w:r>
        <w:t xml:space="preserve"> (New York: Basic Books, 1974), pp. 54–146. On the danger of being a judge in one’s own case, see “</w:t>
      </w:r>
      <w:r>
        <w:rPr>
          <w:rStyle w:val="italic"/>
        </w:rPr>
        <w:t xml:space="preserve">The Theodosian Code,” in The Theodosian Code and Novels and the </w:t>
      </w:r>
      <w:proofErr w:type="spellStart"/>
      <w:r>
        <w:rPr>
          <w:rStyle w:val="italic"/>
        </w:rPr>
        <w:t>Sirmondian</w:t>
      </w:r>
      <w:proofErr w:type="spellEnd"/>
      <w:r>
        <w:rPr>
          <w:rStyle w:val="italic"/>
        </w:rPr>
        <w:t xml:space="preserve"> Constitutions</w:t>
      </w:r>
      <w:r>
        <w:t xml:space="preserve">, Clyde Pharr, trans. (Princeton, N.J.: Princeton University, 1952), § 2.2.1; John Locke, </w:t>
      </w:r>
      <w:r>
        <w:rPr>
          <w:rStyle w:val="Hyperlink"/>
        </w:rPr>
        <w:t>Second Treatise on Civil Government</w:t>
      </w:r>
      <w:r>
        <w:t xml:space="preserve"> (1690; </w:t>
      </w:r>
      <w:r>
        <w:rPr>
          <w:rStyle w:val="Hyperlink"/>
        </w:rPr>
        <w:t>https://www.johnlocke.net/2022/07/two-treatises-of-government.html</w:t>
      </w:r>
      <w:r>
        <w:t>), §13 (When men are “judges in their own cases,” it can be objected that “selflove will make men partial to themselves and their friends: and on the other side, ill nature, passion, and revenge will carry them too far in punishing others.”).</w:t>
      </w:r>
    </w:p>
    <w:p w14:paraId="5C7667E1" w14:textId="77777777" w:rsidR="00B64282" w:rsidRDefault="00B64282" w:rsidP="00B64282">
      <w:pPr>
        <w:pStyle w:val="Footnotes"/>
      </w:pPr>
    </w:p>
  </w:footnote>
  <w:footnote w:id="51">
    <w:p w14:paraId="457C0AAA" w14:textId="77777777" w:rsidR="00B64282" w:rsidRDefault="00B64282" w:rsidP="00B64282">
      <w:pPr>
        <w:pStyle w:val="Footnotes"/>
      </w:pPr>
      <w:r>
        <w:rPr>
          <w:vertAlign w:val="superscript"/>
        </w:rPr>
        <w:footnoteRef/>
      </w:r>
      <w:r>
        <w:t> </w:t>
      </w:r>
      <w:r>
        <w:t xml:space="preserve">For a similar argument by Hoppe regarding why any participant in argument contradicts himself if he denies the relevance of the passage of time in another context, specifically if he denies the validity of the “prior-later” distinction which distinguishes between prior homesteaders and later latecomers, see Hoppe, </w:t>
      </w:r>
      <w:r>
        <w:rPr>
          <w:rStyle w:val="italic"/>
        </w:rPr>
        <w:t>A Theory of Socialism and Capitalism</w:t>
      </w:r>
      <w:r>
        <w:t xml:space="preserve">, pp. 169–71. For a discussion of performative contradictions, see Roy A. Sorensen, </w:t>
      </w:r>
      <w:proofErr w:type="spellStart"/>
      <w:r>
        <w:rPr>
          <w:rStyle w:val="italic"/>
        </w:rPr>
        <w:t>Blindspots</w:t>
      </w:r>
      <w:proofErr w:type="spellEnd"/>
      <w:r>
        <w:t xml:space="preserve"> (New York: Oxford University Press, 1988).</w:t>
      </w:r>
    </w:p>
    <w:p w14:paraId="42B1F320" w14:textId="77777777" w:rsidR="00B64282" w:rsidRDefault="00B64282" w:rsidP="00B64282">
      <w:pPr>
        <w:pStyle w:val="Footnotes"/>
      </w:pPr>
    </w:p>
  </w:footnote>
  <w:footnote w:id="52">
    <w:p w14:paraId="3FC8E486" w14:textId="77777777" w:rsidR="00B64282" w:rsidRDefault="00B64282" w:rsidP="00B64282">
      <w:pPr>
        <w:pStyle w:val="Footnotes"/>
      </w:pPr>
      <w:r>
        <w:rPr>
          <w:vertAlign w:val="superscript"/>
        </w:rPr>
        <w:footnoteRef/>
      </w:r>
      <w:r>
        <w:t> </w:t>
      </w:r>
      <w:r>
        <w:t xml:space="preserve">Whether someone can genuinely believe something is impermissible and yet do it anyway is questionable. As Hare has pointed out, “If a man does what he says he ought not to, … then there is something wrong with what he says, as well as with what he does.” Hare, </w:t>
      </w:r>
      <w:r>
        <w:rPr>
          <w:rStyle w:val="italic"/>
        </w:rPr>
        <w:t>Freedom and Reason</w:t>
      </w:r>
      <w:r>
        <w:t>, § 5.9.</w:t>
      </w:r>
    </w:p>
    <w:p w14:paraId="18F3B09D" w14:textId="77777777" w:rsidR="00B64282" w:rsidRDefault="00B64282" w:rsidP="00B64282">
      <w:pPr>
        <w:pStyle w:val="Footnotes"/>
      </w:pPr>
    </w:p>
  </w:footnote>
  <w:footnote w:id="53">
    <w:p w14:paraId="57CB38E5" w14:textId="77777777" w:rsidR="00B64282" w:rsidRDefault="00B64282" w:rsidP="00B64282">
      <w:pPr>
        <w:pStyle w:val="Footnotes"/>
        <w:rPr>
          <w:spacing w:val="1"/>
        </w:rPr>
      </w:pPr>
      <w:r>
        <w:rPr>
          <w:vertAlign w:val="superscript"/>
        </w:rPr>
        <w:footnoteRef/>
      </w:r>
      <w:r>
        <w:rPr>
          <w:spacing w:val="1"/>
        </w:rPr>
        <w:t> </w:t>
      </w:r>
      <w:r>
        <w:rPr>
          <w:spacing w:val="1"/>
        </w:rPr>
        <w:t xml:space="preserve">Any other similar argument of </w:t>
      </w:r>
      <w:r>
        <w:rPr>
          <w:rStyle w:val="italic"/>
          <w:spacing w:val="1"/>
        </w:rPr>
        <w:t>A</w:t>
      </w:r>
      <w:r>
        <w:rPr>
          <w:spacing w:val="1"/>
        </w:rPr>
        <w:t xml:space="preserve">’s would also fail. For example, </w:t>
      </w:r>
      <w:r>
        <w:rPr>
          <w:rStyle w:val="italic"/>
          <w:spacing w:val="1"/>
        </w:rPr>
        <w:t>A</w:t>
      </w:r>
      <w:r>
        <w:rPr>
          <w:spacing w:val="1"/>
        </w:rPr>
        <w:t xml:space="preserve"> could defend himself by asserting that there is no such thing as free will, so that he was determined to murder </w:t>
      </w:r>
      <w:r>
        <w:rPr>
          <w:rStyle w:val="italic"/>
          <w:spacing w:val="1"/>
        </w:rPr>
        <w:t>B</w:t>
      </w:r>
      <w:r>
        <w:rPr>
          <w:spacing w:val="1"/>
        </w:rPr>
        <w:t xml:space="preserve">, and thus cannot be blamed for doing so. However, note that the estoppel theory nowhere assumed the existence of free will, so such an argument is irrelevant. Moreover, if </w:t>
      </w:r>
      <w:r>
        <w:rPr>
          <w:rStyle w:val="italic"/>
          <w:spacing w:val="1"/>
        </w:rPr>
        <w:t>A</w:t>
      </w:r>
      <w:r>
        <w:rPr>
          <w:spacing w:val="1"/>
        </w:rPr>
        <w:t xml:space="preserve"> is correct that there is no free will, then </w:t>
      </w:r>
      <w:r>
        <w:rPr>
          <w:rStyle w:val="italic"/>
          <w:spacing w:val="1"/>
        </w:rPr>
        <w:t>C</w:t>
      </w:r>
      <w:r>
        <w:rPr>
          <w:spacing w:val="1"/>
        </w:rPr>
        <w:t xml:space="preserve"> is similarly predestined to do whatever he will, and if this includes punishing</w:t>
      </w:r>
      <w:r>
        <w:rPr>
          <w:rStyle w:val="italic"/>
          <w:spacing w:val="1"/>
        </w:rPr>
        <w:t xml:space="preserve"> A</w:t>
      </w:r>
      <w:r>
        <w:rPr>
          <w:spacing w:val="1"/>
        </w:rPr>
        <w:t xml:space="preserve">, how can </w:t>
      </w:r>
      <w:r>
        <w:rPr>
          <w:rStyle w:val="italic"/>
          <w:spacing w:val="1"/>
        </w:rPr>
        <w:t>C</w:t>
      </w:r>
      <w:r>
        <w:rPr>
          <w:spacing w:val="1"/>
        </w:rPr>
        <w:t xml:space="preserve"> be blamed? The logic of reciprocity is inescapable. R.P. Phillips has called such a type of axiom a “boomerang principle … for even though we cast it away from us, it returns to us again.” R.P. Phillips, </w:t>
      </w:r>
      <w:r>
        <w:rPr>
          <w:rStyle w:val="italic"/>
          <w:spacing w:val="1"/>
        </w:rPr>
        <w:t>Modern Thomistic Philosophy: An Explanation for Students</w:t>
      </w:r>
      <w:r>
        <w:rPr>
          <w:spacing w:val="1"/>
        </w:rPr>
        <w:t xml:space="preserve">, vol. 2 (Westminster, Md.: The Newman Press, 1962 [1934–35]), p. 37, quoted in Murray N. Rothbard, “Beyond Is and Ought,” </w:t>
      </w:r>
      <w:r>
        <w:rPr>
          <w:rStyle w:val="HyperlinkitalicsFootnotes"/>
          <w:spacing w:val="-2"/>
        </w:rPr>
        <w:t>Liberty 2</w:t>
      </w:r>
      <w:r>
        <w:rPr>
          <w:spacing w:val="1"/>
        </w:rPr>
        <w:t xml:space="preserve">, </w:t>
      </w:r>
      <w:r>
        <w:rPr>
          <w:rStyle w:val="Hyperlink"/>
          <w:spacing w:val="1"/>
        </w:rPr>
        <w:t>no. 2</w:t>
      </w:r>
      <w:r>
        <w:rPr>
          <w:spacing w:val="1"/>
        </w:rPr>
        <w:t xml:space="preserve"> (Nov. 1988; </w:t>
      </w:r>
      <w:r>
        <w:rPr>
          <w:rStyle w:val="Hyperlink"/>
          <w:spacing w:val="1"/>
        </w:rPr>
        <w:t>https://perma.cc/8LZR-DN6Y</w:t>
      </w:r>
      <w:r>
        <w:rPr>
          <w:spacing w:val="1"/>
        </w:rPr>
        <w:t xml:space="preserve">; also </w:t>
      </w:r>
      <w:r>
        <w:rPr>
          <w:rStyle w:val="Hyperlink"/>
          <w:spacing w:val="1"/>
        </w:rPr>
        <w:t>https://mises.org/library/beyond-and-ought</w:t>
      </w:r>
      <w:r>
        <w:rPr>
          <w:spacing w:val="1"/>
        </w:rPr>
        <w:t>): 44–45, p. 45.</w:t>
      </w:r>
    </w:p>
    <w:p w14:paraId="2A529C6F" w14:textId="77777777" w:rsidR="00B64282" w:rsidRDefault="00B64282" w:rsidP="00B64282">
      <w:pPr>
        <w:pStyle w:val="Footnotes"/>
      </w:pPr>
    </w:p>
  </w:footnote>
  <w:footnote w:id="54">
    <w:p w14:paraId="3E480FBD" w14:textId="77777777" w:rsidR="00B64282" w:rsidRDefault="00B64282" w:rsidP="00B64282">
      <w:pPr>
        <w:pStyle w:val="Footnotes"/>
      </w:pPr>
      <w:r>
        <w:rPr>
          <w:vertAlign w:val="superscript"/>
        </w:rPr>
        <w:footnoteRef/>
      </w:r>
      <w:r>
        <w:t> </w:t>
      </w:r>
      <w:r>
        <w:t>See Part III.D.2, above.</w:t>
      </w:r>
    </w:p>
    <w:p w14:paraId="6D908F16" w14:textId="77777777" w:rsidR="00B64282" w:rsidRDefault="00B64282" w:rsidP="00B64282">
      <w:pPr>
        <w:pStyle w:val="Footnotes"/>
      </w:pPr>
    </w:p>
  </w:footnote>
  <w:footnote w:id="55">
    <w:p w14:paraId="5DCE3F7E" w14:textId="77777777" w:rsidR="00B64282" w:rsidRDefault="00B64282" w:rsidP="00B64282">
      <w:pPr>
        <w:pStyle w:val="Footnotes"/>
      </w:pPr>
      <w:r>
        <w:rPr>
          <w:vertAlign w:val="superscript"/>
        </w:rPr>
        <w:footnoteRef/>
      </w:r>
      <w:r>
        <w:t> </w:t>
      </w:r>
      <w:r>
        <w:rPr>
          <w:rStyle w:val="italic"/>
        </w:rPr>
        <w:t>P</w:t>
      </w:r>
      <w:r>
        <w:t xml:space="preserve"> will usually not be able, in practice, to successfully retaliate or defend himself against the state, but might and right are independent concepts. Thus, this fact of the state’s greater might is irrelevant in the same way that </w:t>
      </w:r>
      <w:r>
        <w:rPr>
          <w:rStyle w:val="italic"/>
        </w:rPr>
        <w:t>B</w:t>
      </w:r>
      <w:r>
        <w:t xml:space="preserve">’s murder does not “prove” that there is not a right to life. After all, there is a difference between </w:t>
      </w:r>
      <w:r>
        <w:rPr>
          <w:rStyle w:val="italic"/>
        </w:rPr>
        <w:t>may</w:t>
      </w:r>
      <w:r>
        <w:t xml:space="preserve"> and </w:t>
      </w:r>
      <w:r>
        <w:rPr>
          <w:rStyle w:val="italic"/>
        </w:rPr>
        <w:t>can</w:t>
      </w:r>
      <w:r>
        <w:t>.</w:t>
      </w:r>
    </w:p>
    <w:p w14:paraId="4C66B265" w14:textId="77777777" w:rsidR="00B64282" w:rsidRDefault="00B64282" w:rsidP="00B64282">
      <w:pPr>
        <w:pStyle w:val="Footnotes"/>
      </w:pPr>
    </w:p>
  </w:footnote>
  <w:footnote w:id="56">
    <w:p w14:paraId="1AD69C91" w14:textId="77777777" w:rsidR="00B64282" w:rsidRDefault="00B64282" w:rsidP="00B64282">
      <w:pPr>
        <w:pStyle w:val="Footnotes"/>
      </w:pPr>
      <w:r>
        <w:rPr>
          <w:vertAlign w:val="superscript"/>
        </w:rPr>
        <w:footnoteRef/>
      </w:r>
      <w:r>
        <w:t> </w:t>
      </w:r>
      <w:r>
        <w:rPr>
          <w:rStyle w:val="italic"/>
        </w:rPr>
        <w:t>P</w:t>
      </w:r>
      <w:r>
        <w:t xml:space="preserve"> could, perhaps, be dialogically estopped from complaining about other pornographers engaging in pornography, but here he is complaining about his being kidnapped by the state.</w:t>
      </w:r>
    </w:p>
    <w:p w14:paraId="36413248" w14:textId="77777777" w:rsidR="00B64282" w:rsidRDefault="00B64282" w:rsidP="00B64282">
      <w:pPr>
        <w:pStyle w:val="Footnotes"/>
      </w:pPr>
    </w:p>
  </w:footnote>
  <w:footnote w:id="57">
    <w:p w14:paraId="7E32B232" w14:textId="77777777" w:rsidR="00B64282" w:rsidRDefault="00B64282" w:rsidP="00B64282">
      <w:pPr>
        <w:pStyle w:val="Footnotes"/>
      </w:pPr>
      <w:r>
        <w:rPr>
          <w:vertAlign w:val="superscript"/>
        </w:rPr>
        <w:footnoteRef/>
      </w:r>
      <w:r>
        <w:t> </w:t>
      </w:r>
      <w:r>
        <w:t xml:space="preserve">Lawrence Crocker discusses a similar use of “moral estoppel” in preventing a criminal from asserting the unfairness of being punished in certain situations. Crocker, “The Upper Limit of Just Punishment,” p. 1067. Crocker’s theory, while interesting, is not developed along the same lines as the estoppel theory developed herein, nor does Crocker seem to realize the implications of estoppel for justifying only the libertarian conception of rights. Rather than focusing on the reciprocity between the force used in punishment and the force of an aggressive act by a wrongdoer, Crocker claims that a person who has “treated </w:t>
      </w:r>
      <w:r>
        <w:rPr>
          <w:spacing w:val="-1"/>
        </w:rPr>
        <w:t>another person or the society at large in a fashion that the criminal law prohibits” is “morally</w:t>
      </w:r>
      <w:r>
        <w:t xml:space="preserve"> estopped” from asserting that his punishment would be unfair. Ibid. However, Crocker’s use of estoppel is too vague and imprecise, for just because one has violated a criminal law does not mean that one has committed the aggression which is necessary to </w:t>
      </w:r>
      <w:proofErr w:type="spellStart"/>
      <w:r>
        <w:t>estop</w:t>
      </w:r>
      <w:proofErr w:type="spellEnd"/>
      <w:r>
        <w:t xml:space="preserve"> him from complaining about punishment. The law must first be valid for Crocker’s assumption to hold, but as the estoppel theory indicates, a law is valid only if it prohibits aggression. Thus, it is not the mere violating of a law that estops a lawbreaker from complaining about being punished—the law might be illegitimate—it is the initiation of force. Crocker is also discussed in “Dialogical Arguments for Libertarian Rights” (</w:t>
      </w:r>
      <w:proofErr w:type="spellStart"/>
      <w:r>
        <w:t>ch.</w:t>
      </w:r>
      <w:proofErr w:type="spellEnd"/>
      <w:r>
        <w:t xml:space="preserve"> 6).</w:t>
      </w:r>
    </w:p>
    <w:p w14:paraId="79EB1149" w14:textId="77777777" w:rsidR="00B64282" w:rsidRDefault="00B64282" w:rsidP="00B64282">
      <w:pPr>
        <w:pStyle w:val="Footnotes"/>
      </w:pPr>
    </w:p>
  </w:footnote>
  <w:footnote w:id="58">
    <w:p w14:paraId="4A0317BA" w14:textId="77777777" w:rsidR="00B64282" w:rsidRDefault="00B64282" w:rsidP="00B64282">
      <w:pPr>
        <w:pStyle w:val="Footnotes"/>
      </w:pPr>
      <w:r>
        <w:rPr>
          <w:vertAlign w:val="superscript"/>
        </w:rPr>
        <w:footnoteRef/>
      </w:r>
      <w:r>
        <w:t> </w:t>
      </w:r>
      <w:r>
        <w:t>This has been recognized even by the U.S. Supreme Court. As the Court recognized:</w:t>
      </w:r>
    </w:p>
    <w:p w14:paraId="73B21E4C" w14:textId="77777777" w:rsidR="00B64282" w:rsidRDefault="00B64282" w:rsidP="00B64282">
      <w:pPr>
        <w:pStyle w:val="FootnoteBlockquotes"/>
      </w:pPr>
      <w:r>
        <w:t>[t]he right to enjoy property without unlawful deprivation ... is in truth a “personal” right.… In fact, a fundamental interdependence exists between the personal right to liberty and the personal right in property. Neither could have meaning without the other. That rights in property are basic civil rights has long been recognized.</w:t>
      </w:r>
    </w:p>
    <w:p w14:paraId="134140C0" w14:textId="77777777" w:rsidR="00B64282" w:rsidRDefault="00B64282" w:rsidP="00B64282">
      <w:pPr>
        <w:pStyle w:val="Footnotes"/>
        <w:ind w:firstLine="0"/>
        <w:rPr>
          <w:spacing w:val="-2"/>
        </w:rPr>
      </w:pPr>
      <w:r>
        <w:rPr>
          <w:rStyle w:val="italic"/>
          <w:spacing w:val="-2"/>
        </w:rPr>
        <w:t>Lynch v. Household Fin. Corp</w:t>
      </w:r>
      <w:r>
        <w:rPr>
          <w:spacing w:val="-2"/>
        </w:rPr>
        <w:t xml:space="preserve">., 405 U.S. 538 (1972), p. 552. But see the famous (or infamous, to some of us) footnote 4 in </w:t>
      </w:r>
      <w:r>
        <w:rPr>
          <w:rStyle w:val="italic"/>
          <w:spacing w:val="-2"/>
        </w:rPr>
        <w:t xml:space="preserve">United States v. </w:t>
      </w:r>
      <w:proofErr w:type="spellStart"/>
      <w:r>
        <w:rPr>
          <w:rStyle w:val="italic"/>
          <w:spacing w:val="-2"/>
        </w:rPr>
        <w:t>Carolene</w:t>
      </w:r>
      <w:proofErr w:type="spellEnd"/>
      <w:r>
        <w:rPr>
          <w:rStyle w:val="italic"/>
          <w:spacing w:val="-2"/>
        </w:rPr>
        <w:t xml:space="preserve"> Products Co.</w:t>
      </w:r>
      <w:r>
        <w:rPr>
          <w:spacing w:val="-2"/>
        </w:rPr>
        <w:t>, which implies that economic and property rights are less fundamental than personal rights. 304 U.S. 144 (1938), p. 152 n.4.</w:t>
      </w:r>
    </w:p>
    <w:p w14:paraId="495DB1E2" w14:textId="77777777" w:rsidR="00B64282" w:rsidRDefault="00B64282" w:rsidP="00B64282">
      <w:pPr>
        <w:pStyle w:val="Footnotes"/>
        <w:ind w:firstLine="0"/>
      </w:pPr>
    </w:p>
  </w:footnote>
  <w:footnote w:id="59">
    <w:p w14:paraId="2A7E046B" w14:textId="77777777" w:rsidR="00B64282" w:rsidRDefault="00B64282" w:rsidP="00B64282">
      <w:pPr>
        <w:pStyle w:val="Footnotes"/>
      </w:pPr>
      <w:r>
        <w:rPr>
          <w:vertAlign w:val="superscript"/>
        </w:rPr>
        <w:footnoteRef/>
      </w:r>
      <w:r>
        <w:t> </w:t>
      </w:r>
      <w:r>
        <w:t>For further details see note 31, above.</w:t>
      </w:r>
    </w:p>
    <w:p w14:paraId="3F7C4421" w14:textId="77777777" w:rsidR="00B64282" w:rsidRDefault="00B64282" w:rsidP="00B64282">
      <w:pPr>
        <w:pStyle w:val="Footnotes"/>
      </w:pPr>
    </w:p>
  </w:footnote>
  <w:footnote w:id="60">
    <w:p w14:paraId="1D4E75DD" w14:textId="77777777" w:rsidR="00B64282" w:rsidRDefault="00B64282" w:rsidP="00B64282">
      <w:pPr>
        <w:pStyle w:val="Footnotes"/>
      </w:pPr>
      <w:r>
        <w:rPr>
          <w:vertAlign w:val="superscript"/>
        </w:rPr>
        <w:footnoteRef/>
      </w:r>
      <w:r>
        <w:t> </w:t>
      </w:r>
      <w:r>
        <w:t xml:space="preserve">Hoppe, </w:t>
      </w:r>
      <w:r>
        <w:rPr>
          <w:rStyle w:val="italic"/>
        </w:rPr>
        <w:t>A Theory of Socialism and Capitalism</w:t>
      </w:r>
      <w:r>
        <w:t>, p. 19.</w:t>
      </w:r>
    </w:p>
    <w:p w14:paraId="660C6AE3" w14:textId="77777777" w:rsidR="00B64282" w:rsidRDefault="00B64282" w:rsidP="00B64282">
      <w:pPr>
        <w:pStyle w:val="Footnotes"/>
      </w:pPr>
    </w:p>
  </w:footnote>
  <w:footnote w:id="61">
    <w:p w14:paraId="056D6ADF" w14:textId="77777777" w:rsidR="00B64282" w:rsidRDefault="00B64282" w:rsidP="00B64282">
      <w:pPr>
        <w:pStyle w:val="Footnotes"/>
      </w:pPr>
      <w:r>
        <w:rPr>
          <w:vertAlign w:val="superscript"/>
        </w:rPr>
        <w:footnoteRef/>
      </w:r>
      <w:r>
        <w:t> </w:t>
      </w:r>
      <w:r>
        <w:t>Ibid., p. 160.</w:t>
      </w:r>
    </w:p>
    <w:p w14:paraId="51A9AFC6" w14:textId="77777777" w:rsidR="00B64282" w:rsidRDefault="00B64282" w:rsidP="00B64282">
      <w:pPr>
        <w:pStyle w:val="Footnotes"/>
      </w:pPr>
    </w:p>
  </w:footnote>
  <w:footnote w:id="62">
    <w:p w14:paraId="75C912B2" w14:textId="77777777" w:rsidR="00B64282" w:rsidRDefault="00B64282" w:rsidP="00B64282">
      <w:pPr>
        <w:pStyle w:val="Footnotes"/>
        <w:rPr>
          <w:spacing w:val="1"/>
        </w:rPr>
      </w:pPr>
      <w:r>
        <w:rPr>
          <w:vertAlign w:val="superscript"/>
        </w:rPr>
        <w:footnoteRef/>
      </w:r>
      <w:r>
        <w:rPr>
          <w:spacing w:val="1"/>
        </w:rPr>
        <w:t> </w:t>
      </w:r>
      <w:r>
        <w:rPr>
          <w:spacing w:val="1"/>
        </w:rPr>
        <w:t>Analogously, this is why scarcity (</w:t>
      </w:r>
      <w:proofErr w:type="spellStart"/>
      <w:r>
        <w:rPr>
          <w:spacing w:val="1"/>
        </w:rPr>
        <w:t>conflictability</w:t>
      </w:r>
      <w:proofErr w:type="spellEnd"/>
      <w:r>
        <w:rPr>
          <w:spacing w:val="1"/>
        </w:rPr>
        <w:t xml:space="preserve">) is the defining characteristic of property. Taking another’s good has the effect of depriving the owner of it because it is scarce; if goods were infinitely abundant then it would not be possible to “take” them because the taking would have no consequence at all, and thus, the concepts of property and scarcity would not arise. </w:t>
      </w:r>
      <w:r>
        <w:rPr>
          <w:rStyle w:val="italic"/>
          <w:spacing w:val="1"/>
        </w:rPr>
        <w:t>See</w:t>
      </w:r>
      <w:r>
        <w:rPr>
          <w:spacing w:val="1"/>
        </w:rPr>
        <w:t xml:space="preserve"> Hoppe, “Of Common, Public, and Private Property and the Rationale for Total Privatization.” On the term “</w:t>
      </w:r>
      <w:proofErr w:type="spellStart"/>
      <w:r>
        <w:rPr>
          <w:spacing w:val="1"/>
        </w:rPr>
        <w:t>conflictable</w:t>
      </w:r>
      <w:proofErr w:type="spellEnd"/>
      <w:r>
        <w:rPr>
          <w:spacing w:val="1"/>
        </w:rPr>
        <w:t>,” see Stephan Kinsella, “</w:t>
      </w:r>
      <w:r>
        <w:rPr>
          <w:rStyle w:val="Hyperlink"/>
          <w:spacing w:val="1"/>
        </w:rPr>
        <w:t xml:space="preserve">On </w:t>
      </w:r>
      <w:proofErr w:type="spellStart"/>
      <w:r>
        <w:rPr>
          <w:rStyle w:val="Hyperlink"/>
          <w:spacing w:val="1"/>
        </w:rPr>
        <w:t>Conflictability</w:t>
      </w:r>
      <w:proofErr w:type="spellEnd"/>
      <w:r>
        <w:rPr>
          <w:rStyle w:val="Hyperlink"/>
          <w:spacing w:val="1"/>
        </w:rPr>
        <w:t xml:space="preserve"> and </w:t>
      </w:r>
      <w:proofErr w:type="spellStart"/>
      <w:r>
        <w:rPr>
          <w:rStyle w:val="Hyperlink"/>
          <w:spacing w:val="1"/>
        </w:rPr>
        <w:t>Conflictable</w:t>
      </w:r>
      <w:proofErr w:type="spellEnd"/>
      <w:r>
        <w:rPr>
          <w:rStyle w:val="Hyperlink"/>
          <w:spacing w:val="1"/>
        </w:rPr>
        <w:t xml:space="preserve"> Resources</w:t>
      </w:r>
      <w:r>
        <w:rPr>
          <w:spacing w:val="1"/>
        </w:rPr>
        <w:t xml:space="preserve">,” </w:t>
      </w:r>
      <w:r>
        <w:rPr>
          <w:rStyle w:val="italic"/>
          <w:spacing w:val="1"/>
        </w:rPr>
        <w:t>StephanKinsella.com</w:t>
      </w:r>
      <w:r>
        <w:rPr>
          <w:spacing w:val="1"/>
        </w:rPr>
        <w:t xml:space="preserve"> (Jan. 31, 2022); also “</w:t>
      </w:r>
      <w:r>
        <w:rPr>
          <w:rStyle w:val="italic"/>
          <w:spacing w:val="1"/>
        </w:rPr>
        <w:t>Against Intellectual Property</w:t>
      </w:r>
      <w:r>
        <w:rPr>
          <w:spacing w:val="1"/>
        </w:rPr>
        <w:t xml:space="preserve"> After Twenty Years” (</w:t>
      </w:r>
      <w:proofErr w:type="spellStart"/>
      <w:r>
        <w:rPr>
          <w:spacing w:val="1"/>
        </w:rPr>
        <w:t>ch.</w:t>
      </w:r>
      <w:proofErr w:type="spellEnd"/>
      <w:r>
        <w:rPr>
          <w:spacing w:val="1"/>
        </w:rPr>
        <w:t xml:space="preserve"> 15), Part III; “What Libertarianism Is” (</w:t>
      </w:r>
      <w:proofErr w:type="spellStart"/>
      <w:r>
        <w:rPr>
          <w:spacing w:val="1"/>
        </w:rPr>
        <w:t>ch.</w:t>
      </w:r>
      <w:proofErr w:type="spellEnd"/>
      <w:r>
        <w:rPr>
          <w:spacing w:val="1"/>
        </w:rPr>
        <w:t xml:space="preserve"> 2), n.5.</w:t>
      </w:r>
    </w:p>
    <w:p w14:paraId="3DDF39B7" w14:textId="77777777" w:rsidR="00B64282" w:rsidRDefault="00B64282" w:rsidP="00B64282">
      <w:pPr>
        <w:pStyle w:val="Footnotes"/>
      </w:pPr>
    </w:p>
  </w:footnote>
  <w:footnote w:id="63">
    <w:p w14:paraId="37B5EF7B" w14:textId="77777777" w:rsidR="00B64282" w:rsidRDefault="00B64282" w:rsidP="00B64282">
      <w:pPr>
        <w:pStyle w:val="Footnotes"/>
      </w:pPr>
      <w:r>
        <w:rPr>
          <w:vertAlign w:val="superscript"/>
        </w:rPr>
        <w:footnoteRef/>
      </w:r>
      <w:r>
        <w:t> </w:t>
      </w:r>
      <w:r>
        <w:t xml:space="preserve">This said, I do not mean to deny that something like the “eggshell skull rule” is compatible with the analysis offered herein. According to this legal rule, a tortfeasor is liable for all consequences of their tort, even if the victim has an unusual vulnerability. For example, if </w:t>
      </w:r>
      <w:r>
        <w:rPr>
          <w:rStyle w:val="italic"/>
        </w:rPr>
        <w:t>A</w:t>
      </w:r>
      <w:r>
        <w:t xml:space="preserve"> lightly slaps </w:t>
      </w:r>
      <w:r>
        <w:rPr>
          <w:rStyle w:val="italic"/>
        </w:rPr>
        <w:t>B</w:t>
      </w:r>
      <w:r>
        <w:t xml:space="preserve"> on the head in a way that would cause only minor damage to most people, but </w:t>
      </w:r>
      <w:r>
        <w:rPr>
          <w:rStyle w:val="italic"/>
        </w:rPr>
        <w:t>B</w:t>
      </w:r>
      <w:r>
        <w:t xml:space="preserve">’s thin skull causes him to die, then </w:t>
      </w:r>
      <w:r>
        <w:rPr>
          <w:rStyle w:val="italic"/>
        </w:rPr>
        <w:t>A</w:t>
      </w:r>
      <w:r>
        <w:t xml:space="preserve"> is liable for the homicide even though he did not intend to kill </w:t>
      </w:r>
      <w:r>
        <w:rPr>
          <w:rStyle w:val="italic"/>
        </w:rPr>
        <w:t>B</w:t>
      </w:r>
      <w:r>
        <w:t xml:space="preserve">, since the battery was intentional (or negligent). See </w:t>
      </w:r>
      <w:r>
        <w:rPr>
          <w:rStyle w:val="Hyperlink"/>
        </w:rPr>
        <w:t>https://en.wikipedia.org/wiki/Eggshell_skull</w:t>
      </w:r>
      <w:r>
        <w:t>.</w:t>
      </w:r>
    </w:p>
    <w:p w14:paraId="59B11EE5" w14:textId="77777777" w:rsidR="00B64282" w:rsidRDefault="00B64282" w:rsidP="00B64282">
      <w:pPr>
        <w:pStyle w:val="Footnotes"/>
      </w:pPr>
    </w:p>
  </w:footnote>
  <w:footnote w:id="64">
    <w:p w14:paraId="7AFB0F87" w14:textId="77777777" w:rsidR="00B64282" w:rsidRDefault="00B64282" w:rsidP="00B64282">
      <w:pPr>
        <w:pStyle w:val="Footnotes"/>
      </w:pPr>
      <w:r>
        <w:rPr>
          <w:vertAlign w:val="superscript"/>
        </w:rPr>
        <w:footnoteRef/>
      </w:r>
      <w:r>
        <w:t> </w:t>
      </w:r>
      <w:r>
        <w:t xml:space="preserve">The classic formula of the </w:t>
      </w:r>
      <w:r>
        <w:rPr>
          <w:rStyle w:val="italic"/>
        </w:rPr>
        <w:t>lex talionis</w:t>
      </w:r>
      <w:r>
        <w:t xml:space="preserve"> is “life for life, eye for eye, tooth for tooth, hand for hand, foot for foot, burn for burn, wound for wound, stripe for stripe.” </w:t>
      </w:r>
      <w:r>
        <w:rPr>
          <w:rStyle w:val="italic"/>
        </w:rPr>
        <w:t>Exodus</w:t>
      </w:r>
      <w:r>
        <w:t xml:space="preserve"> 21: 23–25; see also </w:t>
      </w:r>
      <w:r>
        <w:rPr>
          <w:rStyle w:val="italic"/>
        </w:rPr>
        <w:t>Deuteronomy</w:t>
      </w:r>
      <w:r>
        <w:t xml:space="preserve"> 19: 21 (calling for “life for life, eye for eye, tooth for tooth, hand for hand, foot for foot”); </w:t>
      </w:r>
      <w:r>
        <w:rPr>
          <w:rStyle w:val="italic"/>
        </w:rPr>
        <w:t>Leviticus</w:t>
      </w:r>
      <w:r>
        <w:t xml:space="preserve"> 24: 17–21 (calling for “broken limb for broken limb, eye for eye, tooth for tooth”).</w:t>
      </w:r>
    </w:p>
    <w:p w14:paraId="0C8FB42B" w14:textId="77777777" w:rsidR="00B64282" w:rsidRDefault="00B64282" w:rsidP="00B64282">
      <w:pPr>
        <w:pStyle w:val="Footnotes"/>
      </w:pPr>
    </w:p>
  </w:footnote>
  <w:footnote w:id="65">
    <w:p w14:paraId="7FFF8E57" w14:textId="77777777" w:rsidR="00B64282" w:rsidRDefault="00B64282" w:rsidP="00B64282">
      <w:pPr>
        <w:pStyle w:val="Footnotes"/>
      </w:pPr>
      <w:r>
        <w:rPr>
          <w:vertAlign w:val="superscript"/>
        </w:rPr>
        <w:footnoteRef/>
      </w:r>
      <w:r>
        <w:t> </w:t>
      </w:r>
      <w:r>
        <w:rPr>
          <w:rStyle w:val="italic"/>
        </w:rPr>
        <w:t>Leviticus</w:t>
      </w:r>
      <w:r>
        <w:t xml:space="preserve"> 24: 20. See also the </w:t>
      </w:r>
      <w:proofErr w:type="spellStart"/>
      <w:r>
        <w:t>Aquinus</w:t>
      </w:r>
      <w:proofErr w:type="spellEnd"/>
      <w:r>
        <w:t xml:space="preserve"> quote in note 43, above.</w:t>
      </w:r>
    </w:p>
    <w:p w14:paraId="0A048CB4" w14:textId="77777777" w:rsidR="00B64282" w:rsidRDefault="00B64282" w:rsidP="00B64282">
      <w:pPr>
        <w:pStyle w:val="Footnotes"/>
      </w:pPr>
    </w:p>
  </w:footnote>
  <w:footnote w:id="66">
    <w:p w14:paraId="6B969AD9" w14:textId="77777777" w:rsidR="00B64282" w:rsidRDefault="00B64282" w:rsidP="00B64282">
      <w:pPr>
        <w:pStyle w:val="Footnotes"/>
        <w:rPr>
          <w:spacing w:val="2"/>
        </w:rPr>
      </w:pPr>
      <w:r>
        <w:rPr>
          <w:vertAlign w:val="superscript"/>
        </w:rPr>
        <w:footnoteRef/>
      </w:r>
      <w:r>
        <w:t> </w:t>
      </w:r>
      <w:r>
        <w:rPr>
          <w:spacing w:val="2"/>
        </w:rPr>
        <w:t xml:space="preserve">For a discussion of Jefferson’s attempts at devising proportional punishments, see Walter Kaufman, “Retribution and the Ethics of Punishment,” in Barnett &amp; Hagel III, eds., </w:t>
      </w:r>
      <w:r>
        <w:rPr>
          <w:rStyle w:val="italic"/>
          <w:spacing w:val="2"/>
        </w:rPr>
        <w:t>Assessing the Criminal,</w:t>
      </w:r>
      <w:r>
        <w:rPr>
          <w:spacing w:val="2"/>
        </w:rPr>
        <w:t xml:space="preserve"> p. 223. For recent examples of judges’ attempts at creative punishment to “fit the crime,” see Judy Farah, “Crime and Creative Punishment,” </w:t>
      </w:r>
      <w:r>
        <w:rPr>
          <w:rStyle w:val="italic"/>
          <w:spacing w:val="2"/>
        </w:rPr>
        <w:t>Wall Street J.</w:t>
      </w:r>
      <w:r>
        <w:rPr>
          <w:spacing w:val="2"/>
        </w:rPr>
        <w:t xml:space="preserve">, March 15, 1995, p. A15; Andrea </w:t>
      </w:r>
      <w:proofErr w:type="spellStart"/>
      <w:r>
        <w:rPr>
          <w:spacing w:val="2"/>
        </w:rPr>
        <w:t>Gerlin</w:t>
      </w:r>
      <w:proofErr w:type="spellEnd"/>
      <w:r>
        <w:rPr>
          <w:spacing w:val="2"/>
        </w:rPr>
        <w:t xml:space="preserve">, “Quirky Sentences Make Bad Guys Squirm,” </w:t>
      </w:r>
      <w:r>
        <w:rPr>
          <w:rStyle w:val="italic"/>
          <w:spacing w:val="2"/>
        </w:rPr>
        <w:t>Wall Street J.</w:t>
      </w:r>
      <w:r>
        <w:rPr>
          <w:spacing w:val="2"/>
        </w:rPr>
        <w:t xml:space="preserve"> (August 4, 1994), p. B1, B12; see also Richard A. Posner, “An Economic Theory of the Criminal Law,” </w:t>
      </w:r>
      <w:r>
        <w:rPr>
          <w:rStyle w:val="italic"/>
          <w:spacing w:val="2"/>
        </w:rPr>
        <w:t>Colum. L. Rev.</w:t>
      </w:r>
      <w:r>
        <w:rPr>
          <w:spacing w:val="2"/>
        </w:rPr>
        <w:t xml:space="preserve"> 85 (1985): 1212, discussing different ways to vary the severity of punishment.</w:t>
      </w:r>
    </w:p>
    <w:p w14:paraId="0BBF5F49" w14:textId="77777777" w:rsidR="00B64282" w:rsidRDefault="00B64282" w:rsidP="00B64282">
      <w:pPr>
        <w:pStyle w:val="Footnotes"/>
      </w:pPr>
    </w:p>
  </w:footnote>
  <w:footnote w:id="67">
    <w:p w14:paraId="47B72EF0" w14:textId="77777777" w:rsidR="00B64282" w:rsidRDefault="00B64282" w:rsidP="00B64282">
      <w:pPr>
        <w:pStyle w:val="Footnotes"/>
        <w:rPr>
          <w:spacing w:val="-1"/>
        </w:rPr>
      </w:pPr>
      <w:r>
        <w:rPr>
          <w:vertAlign w:val="superscript"/>
        </w:rPr>
        <w:footnoteRef/>
      </w:r>
      <w:r>
        <w:rPr>
          <w:spacing w:val="-1"/>
        </w:rPr>
        <w:t> </w:t>
      </w:r>
      <w:r>
        <w:rPr>
          <w:spacing w:val="-1"/>
        </w:rPr>
        <w:t xml:space="preserve">Of course, values are subjective, so damage can never be exactly equated. On the subjective theory of value, see Rothbard, </w:t>
      </w:r>
      <w:r>
        <w:rPr>
          <w:rStyle w:val="italic"/>
          <w:spacing w:val="-1"/>
        </w:rPr>
        <w:t>Man, Economy, and State, with Power and Market</w:t>
      </w:r>
      <w:r>
        <w:rPr>
          <w:spacing w:val="-1"/>
        </w:rPr>
        <w:t xml:space="preserve">, chap. 1, § 5.A, pp. 17–21; Alexander H. Shand, </w:t>
      </w:r>
      <w:r>
        <w:rPr>
          <w:rStyle w:val="italic"/>
          <w:spacing w:val="-1"/>
        </w:rPr>
        <w:t>The Capitalist Alternative: An Introduction to Neo-Austrian Economics</w:t>
      </w:r>
      <w:r>
        <w:rPr>
          <w:spacing w:val="-1"/>
        </w:rPr>
        <w:t xml:space="preserve"> (New York: New York University Press, 1984); Mises, </w:t>
      </w:r>
      <w:r>
        <w:rPr>
          <w:rStyle w:val="italic"/>
          <w:spacing w:val="-1"/>
        </w:rPr>
        <w:t>Epistemological Problems of Economics</w:t>
      </w:r>
      <w:r>
        <w:rPr>
          <w:spacing w:val="-1"/>
        </w:rPr>
        <w:t xml:space="preserve">, p. 89; Mises, </w:t>
      </w:r>
      <w:r>
        <w:rPr>
          <w:rStyle w:val="italic"/>
          <w:spacing w:val="-1"/>
        </w:rPr>
        <w:t>Human Action</w:t>
      </w:r>
      <w:r>
        <w:rPr>
          <w:spacing w:val="-1"/>
        </w:rPr>
        <w:t xml:space="preserve">, pp. 94–97, 200–206, 331–33. But </w:t>
      </w:r>
      <w:proofErr w:type="gramStart"/>
      <w:r>
        <w:rPr>
          <w:spacing w:val="-1"/>
        </w:rPr>
        <w:t>again</w:t>
      </w:r>
      <w:proofErr w:type="gramEnd"/>
      <w:r>
        <w:rPr>
          <w:spacing w:val="-1"/>
        </w:rPr>
        <w:t xml:space="preserve"> this is not the </w:t>
      </w:r>
      <w:r>
        <w:rPr>
          <w:rStyle w:val="italic"/>
          <w:spacing w:val="-1"/>
        </w:rPr>
        <w:t>victim’s</w:t>
      </w:r>
      <w:r>
        <w:rPr>
          <w:spacing w:val="-1"/>
        </w:rPr>
        <w:t xml:space="preserve"> fault, and if her only option is to attempt to measure or balance a difficult-to-balance equation—for example, by trying to equate somewhat quantifiable physical aspects of force, such as the magnitude and type of force and the physical consequences thereof—she cannot be blamed and the aggressor may not complain. For an illustrative theory proposing to attribute fault and liability according to objective factors such as force and momentum in a situation such as an automobile collision, see the sections on causation and causal defenses, respectively, in Richard A. Epstein, </w:t>
      </w:r>
      <w:r>
        <w:rPr>
          <w:rStyle w:val="HyperlinkitalicsFootnotes"/>
          <w:spacing w:val="-2"/>
        </w:rPr>
        <w:t>A Theory of Strict Liability: Toward a Reformation of Tort Law</w:t>
      </w:r>
      <w:r>
        <w:rPr>
          <w:spacing w:val="-1"/>
        </w:rPr>
        <w:t xml:space="preserve"> (San Francisco: Cato Institute, 1980; </w:t>
      </w:r>
      <w:r>
        <w:rPr>
          <w:rStyle w:val="Hyperlink"/>
          <w:spacing w:val="-1"/>
        </w:rPr>
        <w:t>https://perma.cc/PVV6-U3Y7</w:t>
      </w:r>
      <w:r>
        <w:rPr>
          <w:spacing w:val="-1"/>
        </w:rPr>
        <w:t xml:space="preserve">), pp. 15–49; Richard A. Epstein, “Defenses and Subsequent Pleas in a System of Strict Liability,” </w:t>
      </w:r>
      <w:r>
        <w:rPr>
          <w:rStyle w:val="italic"/>
          <w:spacing w:val="-1"/>
        </w:rPr>
        <w:t>J. Legal Stud.</w:t>
      </w:r>
      <w:r>
        <w:rPr>
          <w:spacing w:val="-1"/>
        </w:rPr>
        <w:t xml:space="preserve"> 3 (1974), pp. 174–85. Further, if the aggressor </w:t>
      </w:r>
      <w:r>
        <w:rPr>
          <w:rStyle w:val="italic"/>
          <w:spacing w:val="-1"/>
        </w:rPr>
        <w:t>A</w:t>
      </w:r>
      <w:r>
        <w:rPr>
          <w:spacing w:val="-1"/>
        </w:rPr>
        <w:t xml:space="preserve"> were seriously to maintain that force against </w:t>
      </w:r>
      <w:r>
        <w:rPr>
          <w:rStyle w:val="italic"/>
          <w:spacing w:val="-1"/>
        </w:rPr>
        <w:t>A</w:t>
      </w:r>
      <w:r>
        <w:rPr>
          <w:spacing w:val="-1"/>
        </w:rPr>
        <w:t xml:space="preserve"> and force against </w:t>
      </w:r>
      <w:r>
        <w:rPr>
          <w:rStyle w:val="italic"/>
          <w:spacing w:val="-1"/>
        </w:rPr>
        <w:t>B</w:t>
      </w:r>
      <w:r>
        <w:rPr>
          <w:spacing w:val="-1"/>
        </w:rPr>
        <w:t xml:space="preserve"> were wholly incommensurable, he could never meaningfully object to being punished—for to object to punishment,</w:t>
      </w:r>
      <w:r>
        <w:rPr>
          <w:rStyle w:val="italic"/>
          <w:spacing w:val="-1"/>
        </w:rPr>
        <w:t xml:space="preserve"> A</w:t>
      </w:r>
      <w:r>
        <w:rPr>
          <w:spacing w:val="-1"/>
        </w:rPr>
        <w:t xml:space="preserve"> must maintain that such force is unjust and that some level and type of force could be justly used to prevent his punishment. But this implies at least some commensurability. If </w:t>
      </w:r>
      <w:r>
        <w:rPr>
          <w:rStyle w:val="italic"/>
          <w:spacing w:val="-1"/>
        </w:rPr>
        <w:t>A</w:t>
      </w:r>
      <w:r>
        <w:rPr>
          <w:spacing w:val="-1"/>
        </w:rPr>
        <w:t xml:space="preserve"> really maintains incommensurability, </w:t>
      </w:r>
      <w:r>
        <w:rPr>
          <w:rStyle w:val="italic"/>
          <w:spacing w:val="-1"/>
        </w:rPr>
        <w:t>B</w:t>
      </w:r>
      <w:r>
        <w:rPr>
          <w:spacing w:val="-1"/>
        </w:rPr>
        <w:t xml:space="preserve"> may take him at his word and posit that </w:t>
      </w:r>
      <w:r>
        <w:rPr>
          <w:rStyle w:val="italic"/>
          <w:spacing w:val="-1"/>
        </w:rPr>
        <w:t>B</w:t>
      </w:r>
      <w:r>
        <w:rPr>
          <w:spacing w:val="-1"/>
        </w:rPr>
        <w:t xml:space="preserve">’s punishment of </w:t>
      </w:r>
      <w:r>
        <w:rPr>
          <w:rStyle w:val="italic"/>
          <w:spacing w:val="-1"/>
        </w:rPr>
        <w:t>A</w:t>
      </w:r>
      <w:r>
        <w:rPr>
          <w:spacing w:val="-1"/>
        </w:rPr>
        <w:t xml:space="preserve"> justifies </w:t>
      </w:r>
      <w:r>
        <w:rPr>
          <w:rStyle w:val="italic"/>
          <w:spacing w:val="-1"/>
        </w:rPr>
        <w:t>no</w:t>
      </w:r>
      <w:r>
        <w:rPr>
          <w:spacing w:val="-1"/>
        </w:rPr>
        <w:t xml:space="preserve"> retaliatory force on </w:t>
      </w:r>
      <w:r>
        <w:rPr>
          <w:rStyle w:val="italic"/>
          <w:spacing w:val="-1"/>
        </w:rPr>
        <w:t>A</w:t>
      </w:r>
      <w:r>
        <w:rPr>
          <w:spacing w:val="-1"/>
        </w:rPr>
        <w:t xml:space="preserve">’s part—which means that </w:t>
      </w:r>
      <w:r>
        <w:rPr>
          <w:rStyle w:val="italic"/>
          <w:spacing w:val="-1"/>
        </w:rPr>
        <w:t>A</w:t>
      </w:r>
      <w:r>
        <w:rPr>
          <w:spacing w:val="-1"/>
        </w:rPr>
        <w:t xml:space="preserve"> is not effectively claiming that he has a right to not be punished because rights are legitimately enforceable.</w:t>
      </w:r>
    </w:p>
    <w:p w14:paraId="59908899" w14:textId="77777777" w:rsidR="00B64282" w:rsidRDefault="00B64282" w:rsidP="00B64282">
      <w:pPr>
        <w:pStyle w:val="Footnotes"/>
      </w:pPr>
    </w:p>
  </w:footnote>
  <w:footnote w:id="68">
    <w:p w14:paraId="18D54680" w14:textId="77777777" w:rsidR="00B64282" w:rsidRDefault="00B64282" w:rsidP="00B64282">
      <w:pPr>
        <w:pStyle w:val="Footnotes"/>
      </w:pPr>
      <w:r>
        <w:rPr>
          <w:vertAlign w:val="superscript"/>
        </w:rPr>
        <w:footnoteRef/>
      </w:r>
      <w:r>
        <w:t> </w:t>
      </w:r>
      <w:r>
        <w:t>Just how much greater the punishment may be than the original aggression, and how this is determined, is discussed in further detail in Part IV.G, below.</w:t>
      </w:r>
    </w:p>
    <w:p w14:paraId="48FE6C13" w14:textId="77777777" w:rsidR="00B64282" w:rsidRDefault="00B64282" w:rsidP="00B64282">
      <w:pPr>
        <w:pStyle w:val="Footnotes"/>
      </w:pPr>
    </w:p>
  </w:footnote>
  <w:footnote w:id="69">
    <w:p w14:paraId="6384EAFE" w14:textId="77777777" w:rsidR="00B64282" w:rsidRDefault="00B64282" w:rsidP="00B64282">
      <w:pPr>
        <w:pStyle w:val="Footnotes"/>
        <w:rPr>
          <w:spacing w:val="1"/>
        </w:rPr>
      </w:pPr>
      <w:r>
        <w:rPr>
          <w:vertAlign w:val="superscript"/>
        </w:rPr>
        <w:footnoteRef/>
      </w:r>
      <w:r>
        <w:rPr>
          <w:spacing w:val="1"/>
        </w:rPr>
        <w:t> </w:t>
      </w:r>
      <w:r>
        <w:rPr>
          <w:spacing w:val="1"/>
        </w:rPr>
        <w:t xml:space="preserve">Rothbard, “Punishment and Proportionality,” pp. 85, 88, n.6 (and at pp. 259–70 in Rothbard’s chapter of the same name in Barnett &amp; Hagel III, eds., </w:t>
      </w:r>
      <w:r>
        <w:rPr>
          <w:rStyle w:val="italic"/>
          <w:spacing w:val="1"/>
        </w:rPr>
        <w:t>Assessing the Criminal</w:t>
      </w:r>
      <w:r>
        <w:rPr>
          <w:spacing w:val="1"/>
        </w:rPr>
        <w:t>). See also Walter Block, “</w:t>
      </w:r>
      <w:r>
        <w:rPr>
          <w:rStyle w:val="Hyperlink"/>
          <w:spacing w:val="1"/>
        </w:rPr>
        <w:t>Toward a Libertarian Theory of Guilt and Punishment for the Crime of Statism</w:t>
      </w:r>
      <w:r>
        <w:rPr>
          <w:spacing w:val="1"/>
        </w:rPr>
        <w:t xml:space="preserve">,” </w:t>
      </w:r>
      <w:r>
        <w:rPr>
          <w:rStyle w:val="italic"/>
          <w:spacing w:val="1"/>
        </w:rPr>
        <w:t>J. Libertarian Stud.</w:t>
      </w:r>
      <w:r>
        <w:rPr>
          <w:spacing w:val="1"/>
        </w:rPr>
        <w:t xml:space="preserve"> 22, no. 1 (2011; </w:t>
      </w:r>
      <w:r>
        <w:rPr>
          <w:rStyle w:val="Hyperlink"/>
          <w:spacing w:val="1"/>
        </w:rPr>
        <w:t>https://mises.org/library/toward-libertarian-theory-guilt-and-punishment-crime-statism</w:t>
      </w:r>
      <w:r>
        <w:rPr>
          <w:spacing w:val="1"/>
        </w:rPr>
        <w:t xml:space="preserve">): 665–75; </w:t>
      </w:r>
      <w:r>
        <w:rPr>
          <w:rStyle w:val="italic"/>
          <w:spacing w:val="1"/>
        </w:rPr>
        <w:t>idem</w:t>
      </w:r>
      <w:r>
        <w:rPr>
          <w:spacing w:val="1"/>
        </w:rPr>
        <w:t>, “</w:t>
      </w:r>
      <w:r>
        <w:rPr>
          <w:rStyle w:val="Hyperlink"/>
          <w:spacing w:val="1"/>
        </w:rPr>
        <w:t xml:space="preserve">Radical </w:t>
      </w:r>
      <w:r>
        <w:rPr>
          <w:rStyle w:val="Hyperlink"/>
          <w:spacing w:val="1"/>
        </w:rPr>
        <w:br/>
        <w:t>Libertarianism: Applying Libertarian Principles to Dealing With the Unjust Government, Part I,</w:t>
      </w:r>
      <w:r>
        <w:rPr>
          <w:spacing w:val="1"/>
        </w:rPr>
        <w:t xml:space="preserve">” </w:t>
      </w:r>
      <w:r>
        <w:rPr>
          <w:rStyle w:val="italic"/>
          <w:spacing w:val="1"/>
        </w:rPr>
        <w:t>Reason Papers</w:t>
      </w:r>
      <w:r>
        <w:rPr>
          <w:spacing w:val="1"/>
        </w:rPr>
        <w:t xml:space="preserve"> No. 27 (Fall 2004; </w:t>
      </w:r>
      <w:r>
        <w:rPr>
          <w:rStyle w:val="Hyperlink"/>
          <w:spacing w:val="1"/>
        </w:rPr>
        <w:t>https://reasonpapers.com</w:t>
      </w:r>
      <w:r>
        <w:rPr>
          <w:spacing w:val="1"/>
        </w:rPr>
        <w:t xml:space="preserve">): 113–30; and </w:t>
      </w:r>
      <w:r>
        <w:rPr>
          <w:rStyle w:val="italic"/>
        </w:rPr>
        <w:t>idem</w:t>
      </w:r>
      <w:r>
        <w:t>, “</w:t>
      </w:r>
      <w:r>
        <w:rPr>
          <w:rStyle w:val="Hyperlink"/>
        </w:rPr>
        <w:t>Radical Libertarianism: Applying Libertarian Principles to Dealing with the Unjust</w:t>
      </w:r>
      <w:r>
        <w:rPr>
          <w:rStyle w:val="Hyperlink"/>
          <w:spacing w:val="1"/>
        </w:rPr>
        <w:t xml:space="preserve"> Government, Part II,</w:t>
      </w:r>
      <w:r>
        <w:rPr>
          <w:spacing w:val="1"/>
        </w:rPr>
        <w:t xml:space="preserve">” </w:t>
      </w:r>
      <w:r>
        <w:rPr>
          <w:rStyle w:val="italic"/>
          <w:spacing w:val="1"/>
        </w:rPr>
        <w:t>Reason Papers</w:t>
      </w:r>
      <w:r>
        <w:rPr>
          <w:spacing w:val="1"/>
        </w:rPr>
        <w:t xml:space="preserve"> 28 (Spring 2006; </w:t>
      </w:r>
      <w:r>
        <w:rPr>
          <w:rStyle w:val="Hyperlink"/>
          <w:spacing w:val="1"/>
        </w:rPr>
        <w:t>https://reasonpapers.com</w:t>
      </w:r>
      <w:r>
        <w:rPr>
          <w:spacing w:val="1"/>
        </w:rPr>
        <w:t>): 117–33; and Rothbard, “King on Punishment,” p. 167.</w:t>
      </w:r>
    </w:p>
    <w:p w14:paraId="7D380728" w14:textId="77777777" w:rsidR="00B64282" w:rsidRDefault="00B64282" w:rsidP="00B64282">
      <w:pPr>
        <w:pStyle w:val="Footnotes"/>
      </w:pPr>
    </w:p>
  </w:footnote>
  <w:footnote w:id="70">
    <w:p w14:paraId="69779785" w14:textId="77777777" w:rsidR="00B64282" w:rsidRDefault="00B64282" w:rsidP="00B64282">
      <w:pPr>
        <w:pStyle w:val="Footnotes"/>
      </w:pPr>
      <w:r>
        <w:rPr>
          <w:vertAlign w:val="superscript"/>
        </w:rPr>
        <w:footnoteRef/>
      </w:r>
      <w:r>
        <w:t> </w:t>
      </w:r>
      <w:r>
        <w:t xml:space="preserve">Immanuel Kant, </w:t>
      </w:r>
      <w:r>
        <w:rPr>
          <w:rStyle w:val="italic"/>
        </w:rPr>
        <w:t>The Philosophy of Law</w:t>
      </w:r>
      <w:r>
        <w:t xml:space="preserve">, W. Hastie, trans. (Edinburgh: T&amp;T Clark, 1887), p. 197, quoted in Immanuel Kant, “Justice and Punishment,” in </w:t>
      </w:r>
      <w:proofErr w:type="spellStart"/>
      <w:r>
        <w:t>Ezorsky</w:t>
      </w:r>
      <w:proofErr w:type="spellEnd"/>
      <w:r>
        <w:t xml:space="preserve">, ed., </w:t>
      </w:r>
      <w:r>
        <w:rPr>
          <w:rStyle w:val="italic"/>
        </w:rPr>
        <w:t>Philosophical Perspectives on Punishment</w:t>
      </w:r>
      <w:r>
        <w:t>, p. 105.</w:t>
      </w:r>
    </w:p>
    <w:p w14:paraId="2BFCAB40" w14:textId="77777777" w:rsidR="00B64282" w:rsidRDefault="00B64282" w:rsidP="00B64282">
      <w:pPr>
        <w:pStyle w:val="Footnotes"/>
      </w:pPr>
    </w:p>
  </w:footnote>
  <w:footnote w:id="71">
    <w:p w14:paraId="1742793D" w14:textId="77777777" w:rsidR="00B64282" w:rsidRDefault="00B64282" w:rsidP="00B64282">
      <w:pPr>
        <w:pStyle w:val="Footnotes"/>
      </w:pPr>
      <w:r>
        <w:rPr>
          <w:vertAlign w:val="superscript"/>
        </w:rPr>
        <w:footnoteRef/>
      </w:r>
      <w:r>
        <w:t> </w:t>
      </w:r>
      <w:r>
        <w:t xml:space="preserve">See </w:t>
      </w:r>
      <w:r>
        <w:rPr>
          <w:rStyle w:val="italic"/>
        </w:rPr>
        <w:t>People v. Borja</w:t>
      </w:r>
      <w:r>
        <w:t xml:space="preserve">, 22 Cal.Rptr.2d 307 (Ct. App. 1993), p. 309, superseded by 860 P.2d 1182, 24 Cal.Rptr.2d 236 (1993); </w:t>
      </w:r>
      <w:r>
        <w:rPr>
          <w:rStyle w:val="italic"/>
        </w:rPr>
        <w:t>Guido v. Koopman</w:t>
      </w:r>
      <w:r>
        <w:t xml:space="preserve">, 1 Cal.App.4th 837 (Ct. App. 1991), p. 842, discussing the critical importance of horses for transportation and survival in the old West. This </w:t>
      </w:r>
      <w:proofErr w:type="gramStart"/>
      <w:r>
        <w:t>brings to mind</w:t>
      </w:r>
      <w:proofErr w:type="gramEnd"/>
      <w:r>
        <w:t xml:space="preserve"> the reported exchange “many years ago between the Chief Justice of Texas and an Illinois lawyer visiting that state. ‘Why is it,’ the visiting lawyer asked, ‘that you routinely hang horse thieves in Texas but oftentimes let murderers go free?’ ‘</w:t>
      </w:r>
      <w:proofErr w:type="gramStart"/>
      <w:r>
        <w:t>Because,</w:t>
      </w:r>
      <w:proofErr w:type="gramEnd"/>
      <w:r>
        <w:t xml:space="preserve">’ replied the Chief Justice, ‘there never was a horse that needed stealing!’” </w:t>
      </w:r>
      <w:r>
        <w:rPr>
          <w:rStyle w:val="italic"/>
        </w:rPr>
        <w:t>People v. Skiles</w:t>
      </w:r>
      <w:r>
        <w:t>, 450 N.E.2d 1212 (Ill. App. Ct. 1983), p. 1220.</w:t>
      </w:r>
    </w:p>
    <w:p w14:paraId="6C31DB78" w14:textId="77777777" w:rsidR="00B64282" w:rsidRDefault="00B64282" w:rsidP="00B64282">
      <w:pPr>
        <w:pStyle w:val="Footnotes"/>
      </w:pPr>
    </w:p>
  </w:footnote>
  <w:footnote w:id="72">
    <w:p w14:paraId="4FBD8148" w14:textId="77777777" w:rsidR="00B64282" w:rsidRDefault="00B64282" w:rsidP="00B64282">
      <w:pPr>
        <w:pStyle w:val="Footnotes"/>
      </w:pPr>
      <w:r>
        <w:rPr>
          <w:vertAlign w:val="superscript"/>
        </w:rPr>
        <w:footnoteRef/>
      </w:r>
      <w:r>
        <w:t> </w:t>
      </w:r>
      <w:r>
        <w:t>Rothbard, “Punishment and Proportionality,” p. 85.</w:t>
      </w:r>
    </w:p>
    <w:p w14:paraId="34157635" w14:textId="77777777" w:rsidR="00B64282" w:rsidRDefault="00B64282" w:rsidP="00B64282">
      <w:pPr>
        <w:pStyle w:val="Footnotes"/>
      </w:pPr>
    </w:p>
  </w:footnote>
  <w:footnote w:id="73">
    <w:p w14:paraId="36649AEF" w14:textId="77777777" w:rsidR="00B64282" w:rsidRDefault="00B64282" w:rsidP="00B64282">
      <w:pPr>
        <w:pStyle w:val="Footnotes"/>
      </w:pPr>
      <w:r>
        <w:rPr>
          <w:vertAlign w:val="superscript"/>
        </w:rPr>
        <w:footnoteRef/>
      </w:r>
      <w:r>
        <w:t> </w:t>
      </w:r>
      <w:r>
        <w:t>However, it is a separate question (and beyond the scope of this chapter) whether the merchant would have a right to kill the bubble-gum thief who, caught in the act, refused to abandon his attempt at theft.</w:t>
      </w:r>
    </w:p>
    <w:p w14:paraId="4C9887D5" w14:textId="77777777" w:rsidR="00B64282" w:rsidRDefault="00B64282" w:rsidP="00B64282">
      <w:pPr>
        <w:pStyle w:val="Footnotes"/>
      </w:pPr>
    </w:p>
  </w:footnote>
  <w:footnote w:id="74">
    <w:p w14:paraId="129FDB63" w14:textId="77777777" w:rsidR="00B64282" w:rsidRDefault="00B64282" w:rsidP="00B64282">
      <w:pPr>
        <w:pStyle w:val="Footnotes"/>
      </w:pPr>
      <w:r>
        <w:rPr>
          <w:vertAlign w:val="superscript"/>
        </w:rPr>
        <w:footnoteRef/>
      </w:r>
      <w:r>
        <w:t> </w:t>
      </w:r>
      <w:r>
        <w:t xml:space="preserve">See, e.g., Letter from Ayn Rand to John Hospers, April 29, 1961, in Ayn Rand, </w:t>
      </w:r>
      <w:r>
        <w:rPr>
          <w:rStyle w:val="italic"/>
        </w:rPr>
        <w:t>Letters of Ayn Rand</w:t>
      </w:r>
      <w:r>
        <w:t>, Michael S. Berliner, ed. (New York: Plume, 1995), pp. 544, 559, arguing for “a proportionately scaled series of punishments,” and that “the punishment deserved by armed robbery would depend on its place in the scale which begins with the lightest misdemeanor and ends with murder.”</w:t>
      </w:r>
    </w:p>
    <w:p w14:paraId="19B012C0" w14:textId="77777777" w:rsidR="00B64282" w:rsidRDefault="00B64282" w:rsidP="00B64282">
      <w:pPr>
        <w:pStyle w:val="Footnotes"/>
      </w:pPr>
    </w:p>
  </w:footnote>
  <w:footnote w:id="75">
    <w:p w14:paraId="12CC028E" w14:textId="77777777" w:rsidR="00B64282" w:rsidRDefault="00B64282" w:rsidP="00B64282">
      <w:pPr>
        <w:pStyle w:val="Footnotes"/>
      </w:pPr>
      <w:r>
        <w:rPr>
          <w:vertAlign w:val="superscript"/>
        </w:rPr>
        <w:footnoteRef/>
      </w:r>
      <w:r>
        <w:t> </w:t>
      </w:r>
      <w:r>
        <w:t>See Posner, “An Economic Theory of the Criminal Law,” p. 1212, discussing different ways to vary the severity of punishment.</w:t>
      </w:r>
    </w:p>
    <w:p w14:paraId="378ABAE8" w14:textId="77777777" w:rsidR="00B64282" w:rsidRDefault="00B64282" w:rsidP="00B64282">
      <w:pPr>
        <w:pStyle w:val="Footnotes"/>
      </w:pPr>
    </w:p>
  </w:footnote>
  <w:footnote w:id="76">
    <w:p w14:paraId="60312E65" w14:textId="77777777" w:rsidR="00B64282" w:rsidRDefault="00B64282" w:rsidP="00B64282">
      <w:pPr>
        <w:pStyle w:val="Footnotes"/>
        <w:rPr>
          <w:spacing w:val="2"/>
        </w:rPr>
      </w:pPr>
      <w:r>
        <w:rPr>
          <w:vertAlign w:val="superscript"/>
        </w:rPr>
        <w:footnoteRef/>
      </w:r>
      <w:r>
        <w:rPr>
          <w:spacing w:val="2"/>
        </w:rPr>
        <w:t> </w:t>
      </w:r>
      <w:r>
        <w:rPr>
          <w:spacing w:val="2"/>
        </w:rPr>
        <w:t xml:space="preserve">However, where the thief is poorer than the victim, as is usually the case, this does not mean that the victim is not entitled to recoup the entire $10,000. For example, if the $10,000 stolen is only 1% of the victim’s estate and the thief’s estate is only $10,000 total—after the victim has retaken his own $10,000 from the thief—it is not the case that the victim is limited to 1% of $10,000—$100. Because it is the thief who caused the harm, the victim should have the option of selecting the higher of (a) the amount that was stolen, or (b) a higher amount that is equivalent in terms of damage done. For further suggestions along these lines, such as Stephen Schafer’s view that punishment “‘should … be equally burdensome and just for all criminals, irrespective of their means, whether they be millionaires or </w:t>
      </w:r>
      <w:proofErr w:type="spellStart"/>
      <w:r>
        <w:rPr>
          <w:spacing w:val="2"/>
        </w:rPr>
        <w:t>labourers</w:t>
      </w:r>
      <w:proofErr w:type="spellEnd"/>
      <w:r>
        <w:rPr>
          <w:spacing w:val="2"/>
        </w:rPr>
        <w:t xml:space="preserve">,”‘ see Randy E. Barnett, “Restitution: A New Paradigm of Criminal Justice,” in Barnett &amp; Hagel III, eds., </w:t>
      </w:r>
      <w:r>
        <w:rPr>
          <w:rStyle w:val="italic"/>
          <w:spacing w:val="2"/>
        </w:rPr>
        <w:t>Assessing the Criminal</w:t>
      </w:r>
      <w:r>
        <w:rPr>
          <w:spacing w:val="2"/>
        </w:rPr>
        <w:t xml:space="preserve">, pp. 349, 363–64, quoting Stephen Schafer, </w:t>
      </w:r>
      <w:r>
        <w:rPr>
          <w:rStyle w:val="italic"/>
          <w:spacing w:val="2"/>
        </w:rPr>
        <w:t>Compensation and Restitution to Victims of Crime</w:t>
      </w:r>
      <w:r>
        <w:rPr>
          <w:spacing w:val="2"/>
        </w:rPr>
        <w:t xml:space="preserve">, 2d ed. (Montclair, N.J.: Patterson Smith, 1970), p. 127. It should be noted that Rothbard’s view of restitution and retribution is slightly different from the principles discussed above. </w:t>
      </w:r>
      <w:r>
        <w:rPr>
          <w:rStyle w:val="italic"/>
          <w:spacing w:val="2"/>
        </w:rPr>
        <w:t>See</w:t>
      </w:r>
      <w:r>
        <w:rPr>
          <w:spacing w:val="2"/>
        </w:rPr>
        <w:t xml:space="preserve"> Rothbard, “Punishment and Proportionality,” at 86.</w:t>
      </w:r>
    </w:p>
    <w:p w14:paraId="59CDC9E8" w14:textId="77777777" w:rsidR="00B64282" w:rsidRDefault="00B64282" w:rsidP="00B64282">
      <w:pPr>
        <w:pStyle w:val="Footnotes"/>
      </w:pPr>
      <w:r>
        <w:t>Further, suppose that A, the victim, was about to use the $10,000 to save his own or another’s life: for example, as a ransom for his daughter’s kidnapper or to pay for a medical procedure to save his daughter’s life. Theft of the $10,000 from a sufficiently poor person, or at a crucial time, could very well lead to death—the kidnapper murders the daughter because he was not paid. In this case it is very possible that execution of the thief could be justified since the consequences of this theft were even more severe than normal, especially in the case where the thief was aware of the potentially life-endangering consequences of the theft. For the principle that a criminal or tortfeasor “takes his victim as he finds him,” see note 83, below, and accompanying text.</w:t>
      </w:r>
    </w:p>
  </w:footnote>
  <w:footnote w:id="77">
    <w:p w14:paraId="46C7B4BA" w14:textId="77777777" w:rsidR="00B64282" w:rsidRDefault="00B64282" w:rsidP="00B64282">
      <w:pPr>
        <w:pStyle w:val="Footnotes"/>
      </w:pPr>
      <w:r>
        <w:rPr>
          <w:vertAlign w:val="superscript"/>
        </w:rPr>
        <w:footnoteRef/>
      </w:r>
      <w:r>
        <w:t> </w:t>
      </w:r>
      <w:r>
        <w:t>See note 69, above, and accompanying text.</w:t>
      </w:r>
    </w:p>
    <w:p w14:paraId="766D2F8A" w14:textId="77777777" w:rsidR="00B64282" w:rsidRDefault="00B64282" w:rsidP="00B64282">
      <w:pPr>
        <w:pStyle w:val="Footnotes"/>
      </w:pPr>
    </w:p>
  </w:footnote>
  <w:footnote w:id="78">
    <w:p w14:paraId="55C5B785" w14:textId="5D10F9AD" w:rsidR="00B64282" w:rsidRDefault="00B64282" w:rsidP="00B64282">
      <w:pPr>
        <w:pStyle w:val="Footnotes"/>
      </w:pPr>
      <w:r>
        <w:rPr>
          <w:vertAlign w:val="superscript"/>
        </w:rPr>
        <w:footnoteRef/>
      </w:r>
      <w:r>
        <w:t> </w:t>
      </w:r>
      <w:r>
        <w:t xml:space="preserve">See </w:t>
      </w:r>
      <w:r>
        <w:rPr>
          <w:rStyle w:val="italic"/>
        </w:rPr>
        <w:t>Mason v. Cohn,</w:t>
      </w:r>
      <w:r>
        <w:t xml:space="preserve"> 438 N.Y.S.2d 462 (N.Y. Sup. Ct. 1981), p. 464; </w:t>
      </w:r>
      <w:r>
        <w:rPr>
          <w:rStyle w:val="italic"/>
        </w:rPr>
        <w:t xml:space="preserve">Black’s </w:t>
      </w:r>
      <w:proofErr w:type="gramStart"/>
      <w:r>
        <w:rPr>
          <w:rStyle w:val="italic"/>
        </w:rPr>
        <w:t xml:space="preserve">Law </w:t>
      </w:r>
      <w:r>
        <w:rPr>
          <w:rStyle w:val="italic"/>
        </w:rPr>
        <w:t xml:space="preserve"> </w:t>
      </w:r>
      <w:r>
        <w:rPr>
          <w:rStyle w:val="italic"/>
        </w:rPr>
        <w:t>Dictionary</w:t>
      </w:r>
      <w:proofErr w:type="gramEnd"/>
      <w:r>
        <w:t xml:space="preserve">, 6th ed. (St. Paul, Minn.: West Publishing, 1990), p. 114. The Louisiana Criminal Code defines assault as “an attempt to commit a battery, or the intentional placing of another in reasonable apprehension of receiving a battery.” </w:t>
      </w:r>
      <w:r>
        <w:rPr>
          <w:rStyle w:val="HyperlinkitalicsFootnotes"/>
          <w:spacing w:val="-2"/>
        </w:rPr>
        <w:t>Louisiana Revised Statutes Annotated</w:t>
      </w:r>
      <w:r>
        <w:t>, § 14:36 (</w:t>
      </w:r>
      <w:r>
        <w:rPr>
          <w:rStyle w:val="Hyperlink"/>
        </w:rPr>
        <w:t>https://legis.la.gov/legis/Laws_Toc.aspx?folder=75&amp;level=Parent</w:t>
      </w:r>
      <w:r>
        <w:t xml:space="preserve">). A battery is defined as “the intentional use of force or violence upon the person of another; or the intentional administration of a poison or other noxious liquid or substance to another.” Ibid., § 14:33. Assault can thus also include an attempted battery, which need not put the victim in a state of apprehension of receiving a battery—for example, the victim may be asleep and be unaware that another has just swung a club at his </w:t>
      </w:r>
      <w:proofErr w:type="gramStart"/>
      <w:r>
        <w:t>head, but</w:t>
      </w:r>
      <w:proofErr w:type="gramEnd"/>
      <w:r>
        <w:t xml:space="preserve"> missed. This second definition of assault is ignored for our present purposes.</w:t>
      </w:r>
    </w:p>
    <w:p w14:paraId="1D1E42DC" w14:textId="77777777" w:rsidR="00B64282" w:rsidRDefault="00B64282" w:rsidP="00B64282">
      <w:pPr>
        <w:pStyle w:val="Footnotes"/>
      </w:pPr>
      <w:r>
        <w:t>For some of my thoughts on how negligence law might develop in a private-law society, see Stephan Kinsella, “</w:t>
      </w:r>
      <w:r>
        <w:rPr>
          <w:rStyle w:val="Hyperlink"/>
        </w:rPr>
        <w:t xml:space="preserve">The Libertarian Approach to Negligence, Tort, and Strict Liability: </w:t>
      </w:r>
      <w:proofErr w:type="spellStart"/>
      <w:r>
        <w:rPr>
          <w:rStyle w:val="Hyperlink"/>
        </w:rPr>
        <w:t>Wergeld</w:t>
      </w:r>
      <w:proofErr w:type="spellEnd"/>
      <w:r>
        <w:rPr>
          <w:rStyle w:val="Hyperlink"/>
        </w:rPr>
        <w:t xml:space="preserve"> and Partial </w:t>
      </w:r>
      <w:proofErr w:type="spellStart"/>
      <w:r>
        <w:rPr>
          <w:rStyle w:val="Hyperlink"/>
        </w:rPr>
        <w:t>Wergeld</w:t>
      </w:r>
      <w:proofErr w:type="spellEnd"/>
      <w:r>
        <w:t xml:space="preserve">,” </w:t>
      </w:r>
      <w:r>
        <w:rPr>
          <w:rStyle w:val="italic"/>
        </w:rPr>
        <w:t>Mises Economics Blog</w:t>
      </w:r>
      <w:r>
        <w:t xml:space="preserve"> (Sep. 1, 2009).</w:t>
      </w:r>
    </w:p>
  </w:footnote>
  <w:footnote w:id="79">
    <w:p w14:paraId="2CF7A7B9" w14:textId="77777777" w:rsidR="00B64282" w:rsidRDefault="00B64282" w:rsidP="00B64282">
      <w:pPr>
        <w:pStyle w:val="Footnotes"/>
      </w:pPr>
      <w:r>
        <w:rPr>
          <w:vertAlign w:val="superscript"/>
        </w:rPr>
        <w:footnoteRef/>
      </w:r>
      <w:r>
        <w:t> </w:t>
      </w:r>
      <w:r>
        <w:t xml:space="preserve">See also Pavel </w:t>
      </w:r>
      <w:proofErr w:type="spellStart"/>
      <w:r>
        <w:t>Slutskiy</w:t>
      </w:r>
      <w:proofErr w:type="spellEnd"/>
      <w:r>
        <w:t xml:space="preserve">, “Threats of the Use of Force: ‘Mere Speech’ or Rights </w:t>
      </w:r>
      <w:proofErr w:type="gramStart"/>
      <w:r>
        <w:t>Violation?,</w:t>
      </w:r>
      <w:proofErr w:type="gramEnd"/>
      <w:r>
        <w:t xml:space="preserve">” in </w:t>
      </w:r>
      <w:r>
        <w:rPr>
          <w:rStyle w:val="italic"/>
        </w:rPr>
        <w:t>idem</w:t>
      </w:r>
      <w:r>
        <w:t xml:space="preserve">, </w:t>
      </w:r>
      <w:r>
        <w:rPr>
          <w:rStyle w:val="italic"/>
        </w:rPr>
        <w:t>Communication and Libertarianism</w:t>
      </w:r>
      <w:r>
        <w:t>. For a discussion of why fraud is a type of rights violation, see “A Libertarian Theory of Contract” (</w:t>
      </w:r>
      <w:proofErr w:type="spellStart"/>
      <w:r>
        <w:t>ch.</w:t>
      </w:r>
      <w:proofErr w:type="spellEnd"/>
      <w:r>
        <w:t xml:space="preserve"> 9), Part III.E.</w:t>
      </w:r>
    </w:p>
    <w:p w14:paraId="33EA27B8" w14:textId="77777777" w:rsidR="00B64282" w:rsidRDefault="00B64282" w:rsidP="00B64282">
      <w:pPr>
        <w:pStyle w:val="Footnotes"/>
      </w:pPr>
      <w:r>
        <w:t xml:space="preserve">See also Rothbard’s argument for why threats (and fraud) count as types of aggression: </w:t>
      </w:r>
    </w:p>
    <w:p w14:paraId="39028A92" w14:textId="77777777" w:rsidR="00B64282" w:rsidRDefault="00B64282" w:rsidP="00B64282">
      <w:pPr>
        <w:pStyle w:val="FootnoteBlockquotes"/>
        <w:rPr>
          <w:spacing w:val="0"/>
        </w:rPr>
      </w:pPr>
      <w:r>
        <w:rPr>
          <w:spacing w:val="0"/>
        </w:rPr>
        <w:t xml:space="preserve">Defensive violence, therefore, must be confined to resisting invasive acts against person or property. But such invasion may include two corollaries to actual physical aggression: </w:t>
      </w:r>
      <w:r>
        <w:rPr>
          <w:rStyle w:val="italic"/>
          <w:spacing w:val="0"/>
        </w:rPr>
        <w:t>intimidation</w:t>
      </w:r>
      <w:r>
        <w:rPr>
          <w:spacing w:val="0"/>
        </w:rPr>
        <w:t xml:space="preserve">, or a direct threat of physical violence; and </w:t>
      </w:r>
      <w:r>
        <w:rPr>
          <w:rStyle w:val="italic"/>
          <w:spacing w:val="0"/>
        </w:rPr>
        <w:t>fraud</w:t>
      </w:r>
      <w:r>
        <w:rPr>
          <w:spacing w:val="0"/>
        </w:rPr>
        <w:t xml:space="preserve">, which involves the appropriation of someone else’s property without his </w:t>
      </w:r>
      <w:proofErr w:type="gramStart"/>
      <w:r>
        <w:rPr>
          <w:spacing w:val="0"/>
        </w:rPr>
        <w:t>consent, and</w:t>
      </w:r>
      <w:proofErr w:type="gramEnd"/>
      <w:r>
        <w:rPr>
          <w:spacing w:val="0"/>
        </w:rPr>
        <w:t xml:space="preserve"> is therefore “implicit theft.”</w:t>
      </w:r>
    </w:p>
    <w:p w14:paraId="318ADCE1" w14:textId="77777777" w:rsidR="00B64282" w:rsidRDefault="00B64282" w:rsidP="00B64282">
      <w:pPr>
        <w:pStyle w:val="Footnotes"/>
        <w:ind w:firstLine="0"/>
      </w:pPr>
      <w:r>
        <w:t>Rothbard, “Self-Defense,” p. 77.</w:t>
      </w:r>
    </w:p>
    <w:p w14:paraId="37487569" w14:textId="77777777" w:rsidR="00B64282" w:rsidRDefault="00B64282" w:rsidP="00B64282">
      <w:pPr>
        <w:pStyle w:val="Footnotes"/>
        <w:ind w:firstLine="0"/>
      </w:pPr>
    </w:p>
  </w:footnote>
  <w:footnote w:id="80">
    <w:p w14:paraId="71CD1688" w14:textId="77777777" w:rsidR="00B64282" w:rsidRDefault="00B64282" w:rsidP="00B64282">
      <w:pPr>
        <w:pStyle w:val="Footnotes"/>
      </w:pPr>
      <w:r>
        <w:rPr>
          <w:vertAlign w:val="superscript"/>
        </w:rPr>
        <w:footnoteRef/>
      </w:r>
      <w:r>
        <w:t> </w:t>
      </w:r>
      <w:r>
        <w:t>See Part IV.A, above.</w:t>
      </w:r>
    </w:p>
    <w:p w14:paraId="63E653FE" w14:textId="77777777" w:rsidR="00B64282" w:rsidRDefault="00B64282" w:rsidP="00B64282">
      <w:pPr>
        <w:pStyle w:val="Footnotes"/>
      </w:pPr>
    </w:p>
  </w:footnote>
  <w:footnote w:id="81">
    <w:p w14:paraId="16312964" w14:textId="77777777" w:rsidR="00B64282" w:rsidRDefault="00B64282" w:rsidP="00B64282">
      <w:pPr>
        <w:pStyle w:val="Footnotes"/>
        <w:rPr>
          <w:spacing w:val="-1"/>
        </w:rPr>
      </w:pPr>
      <w:r>
        <w:rPr>
          <w:vertAlign w:val="superscript"/>
        </w:rPr>
        <w:footnoteRef/>
      </w:r>
      <w:r>
        <w:rPr>
          <w:spacing w:val="-1"/>
        </w:rPr>
        <w:t> </w:t>
      </w:r>
      <w:r>
        <w:rPr>
          <w:spacing w:val="-1"/>
        </w:rPr>
        <w:t>Many crimes would have established or generally accepted levels or at least ranges of permissible punishment—for example, as worked out by a private justice system of a free society or by specialists writing treatises on the subject. For further discussion of the role of judges or other decentralized law-finding fora, and of legislatures, in the development of law, see “Legislation and the Discovery of Law in a Free Society” (</w:t>
      </w:r>
      <w:proofErr w:type="spellStart"/>
      <w:r>
        <w:rPr>
          <w:spacing w:val="-1"/>
        </w:rPr>
        <w:t>ch.</w:t>
      </w:r>
      <w:proofErr w:type="spellEnd"/>
      <w:r>
        <w:rPr>
          <w:spacing w:val="-1"/>
        </w:rPr>
        <w:t xml:space="preserve"> 13). No doubt litigants in court or equivalent forums, especially the defendant, would hire lawyers to present the best arguments possible in favor of punishment and its permissible bounds. In a society that respects the general libertarian theory of rights and punishment developed herein, one could even expect lawyers to specialize in arguing whether a defendant is estopped from asserting a particular defense, whether a given defense is capable of being made universal or </w:t>
      </w:r>
      <w:proofErr w:type="gramStart"/>
      <w:r>
        <w:rPr>
          <w:spacing w:val="-1"/>
        </w:rPr>
        <w:t>particular when</w:t>
      </w:r>
      <w:proofErr w:type="gramEnd"/>
      <w:r>
        <w:rPr>
          <w:spacing w:val="-1"/>
        </w:rPr>
        <w:t xml:space="preserve"> the burden of proof for each side has been satisfied, and the like.</w:t>
      </w:r>
    </w:p>
    <w:p w14:paraId="770DAD4D" w14:textId="77777777" w:rsidR="00B64282" w:rsidRDefault="00B64282" w:rsidP="00B64282">
      <w:pPr>
        <w:pStyle w:val="Footnotes"/>
      </w:pPr>
      <w:r>
        <w:rPr>
          <w:spacing w:val="-1"/>
        </w:rPr>
        <w:t xml:space="preserve">With regard to the concept of making a prima facie case and switching the burden of proof from the plaintiff to the defendant, Richard Epstein has set forth a promising theory of pleadings and presumptions whereby one party who wishes to upset the initial balance must establish a prima facie case that may be countered by a defense, which may be met with a second round of prima facie arguments, and so on. See Richard A. Epstein, “Pleading and Presumptions,” </w:t>
      </w:r>
      <w:r>
        <w:rPr>
          <w:rStyle w:val="italic"/>
          <w:spacing w:val="-1"/>
        </w:rPr>
        <w:t>U. Chicago L. Rev.</w:t>
      </w:r>
      <w:r>
        <w:rPr>
          <w:spacing w:val="-1"/>
        </w:rPr>
        <w:t xml:space="preserve"> 40 (1973), p. 556. For its application to the fields of torts and intentional harms, see </w:t>
      </w:r>
      <w:r>
        <w:rPr>
          <w:rStyle w:val="italic"/>
          <w:spacing w:val="-1"/>
        </w:rPr>
        <w:t>idem</w:t>
      </w:r>
      <w:r>
        <w:rPr>
          <w:spacing w:val="-1"/>
        </w:rPr>
        <w:t xml:space="preserve">, </w:t>
      </w:r>
      <w:r>
        <w:rPr>
          <w:rStyle w:val="italic"/>
          <w:spacing w:val="-1"/>
        </w:rPr>
        <w:t>A Theory of Strict Liability</w:t>
      </w:r>
      <w:r>
        <w:rPr>
          <w:spacing w:val="-1"/>
        </w:rPr>
        <w:t xml:space="preserve">; </w:t>
      </w:r>
      <w:r>
        <w:rPr>
          <w:rStyle w:val="italic"/>
          <w:spacing w:val="-1"/>
        </w:rPr>
        <w:t>idem</w:t>
      </w:r>
      <w:r>
        <w:rPr>
          <w:spacing w:val="-1"/>
        </w:rPr>
        <w:t>, “Defenses and Subsequent Pleas in a System of Strict Liability”; and</w:t>
      </w:r>
      <w:r>
        <w:rPr>
          <w:rStyle w:val="italic"/>
          <w:spacing w:val="-1"/>
        </w:rPr>
        <w:t xml:space="preserve"> idem</w:t>
      </w:r>
      <w:r>
        <w:rPr>
          <w:spacing w:val="-1"/>
        </w:rPr>
        <w:t>, “Intentional Harms.”</w:t>
      </w:r>
    </w:p>
  </w:footnote>
  <w:footnote w:id="82">
    <w:p w14:paraId="62BE6A37" w14:textId="77777777" w:rsidR="00B64282" w:rsidRDefault="00B64282" w:rsidP="00B64282">
      <w:pPr>
        <w:pStyle w:val="Footnotes"/>
      </w:pPr>
      <w:r>
        <w:rPr>
          <w:vertAlign w:val="superscript"/>
        </w:rPr>
        <w:footnoteRef/>
      </w:r>
      <w:r>
        <w:t> </w:t>
      </w:r>
      <w:r>
        <w:t xml:space="preserve">Admittedly, it is difficult to know how this argument would proceed or even what would qualify as a good argument. But such concerns are the aggressor’s worry, not the </w:t>
      </w:r>
      <w:proofErr w:type="gramStart"/>
      <w:r>
        <w:t>victim’s</w:t>
      </w:r>
      <w:proofErr w:type="gramEnd"/>
      <w:r>
        <w:t>. And there is an easy way to avoid being placed in this position: do not initiate force against your fellow man.</w:t>
      </w:r>
    </w:p>
    <w:p w14:paraId="3DFDBAF0" w14:textId="77777777" w:rsidR="00B64282" w:rsidRDefault="00B64282" w:rsidP="00B64282">
      <w:pPr>
        <w:pStyle w:val="Footnotes"/>
      </w:pPr>
    </w:p>
  </w:footnote>
  <w:footnote w:id="83">
    <w:p w14:paraId="49F965CC" w14:textId="77777777" w:rsidR="00B64282" w:rsidRDefault="00B64282" w:rsidP="00B64282">
      <w:pPr>
        <w:pStyle w:val="Footnotes"/>
      </w:pPr>
      <w:r>
        <w:rPr>
          <w:vertAlign w:val="superscript"/>
        </w:rPr>
        <w:footnoteRef/>
      </w:r>
      <w:r>
        <w:t> </w:t>
      </w:r>
      <w:r>
        <w:t>This is an ancient principle of justice. For example:</w:t>
      </w:r>
    </w:p>
    <w:p w14:paraId="7FC3306D" w14:textId="77777777" w:rsidR="00B64282" w:rsidRDefault="00B64282" w:rsidP="00B64282">
      <w:pPr>
        <w:pStyle w:val="FootnoteBlockquotes"/>
      </w:pPr>
      <w:r>
        <w:t xml:space="preserve">It is well settled in our jurisprudence that a defendant </w:t>
      </w:r>
      <w:r>
        <w:rPr>
          <w:rStyle w:val="italic"/>
        </w:rPr>
        <w:t>takes his victim as he finds him</w:t>
      </w:r>
      <w:r>
        <w:t xml:space="preserve"> and is responsible for all natural and probable consequences of his tortious conduct. Where defendant’s negligent action aggravates a preexisting injury or condition, he must compensate the victim for the full extent of his aggravation.</w:t>
      </w:r>
    </w:p>
    <w:p w14:paraId="7E25C652" w14:textId="77777777" w:rsidR="00B64282" w:rsidRDefault="00B64282" w:rsidP="00B64282">
      <w:pPr>
        <w:pStyle w:val="Footnotes"/>
        <w:ind w:firstLine="0"/>
      </w:pPr>
      <w:r>
        <w:rPr>
          <w:rStyle w:val="italic"/>
        </w:rPr>
        <w:t>American Motorist Ins. Co. v. American Rent-All</w:t>
      </w:r>
      <w:r>
        <w:t>, Inc., 579 So.2d 429 (La. 1991), p. 433, emphasis added, citation omitted.</w:t>
      </w:r>
    </w:p>
    <w:p w14:paraId="0A363A3E" w14:textId="77777777" w:rsidR="00B64282" w:rsidRDefault="00B64282" w:rsidP="00B64282">
      <w:pPr>
        <w:pStyle w:val="Footnotes"/>
        <w:ind w:firstLine="0"/>
      </w:pPr>
    </w:p>
  </w:footnote>
  <w:footnote w:id="84">
    <w:p w14:paraId="5D651924" w14:textId="77777777" w:rsidR="00B64282" w:rsidRDefault="00B64282" w:rsidP="00B64282">
      <w:pPr>
        <w:pStyle w:val="Footnotes"/>
      </w:pPr>
      <w:r>
        <w:rPr>
          <w:vertAlign w:val="superscript"/>
        </w:rPr>
        <w:footnoteRef/>
      </w:r>
      <w:r>
        <w:t> </w:t>
      </w:r>
      <w:r>
        <w:t>See also Kinsella, “</w:t>
      </w:r>
      <w:r>
        <w:rPr>
          <w:rStyle w:val="Hyperlink"/>
        </w:rPr>
        <w:t>Fraud, Restitution, and Retaliation: The Libertarian Approach</w:t>
      </w:r>
      <w:r>
        <w:t xml:space="preserve">,” </w:t>
      </w:r>
      <w:r>
        <w:rPr>
          <w:rStyle w:val="italic"/>
        </w:rPr>
        <w:t>StephanKinsella.com</w:t>
      </w:r>
      <w:r>
        <w:t xml:space="preserve"> (Feb. 3, 2009). Admittedly, this presupposes that the victim has the primary right of retribution against the aggressor so that she may </w:t>
      </w:r>
      <w:r>
        <w:rPr>
          <w:rStyle w:val="italic"/>
        </w:rPr>
        <w:t>forgive</w:t>
      </w:r>
      <w:r>
        <w:t xml:space="preserve"> him. This topic is ripe for further development, and in fact has been explored in a recent paper. See </w:t>
      </w:r>
      <w:proofErr w:type="spellStart"/>
      <w:r>
        <w:t>Łukasz</w:t>
      </w:r>
      <w:proofErr w:type="spellEnd"/>
      <w:r>
        <w:t xml:space="preserve"> </w:t>
      </w:r>
      <w:proofErr w:type="spellStart"/>
      <w:r>
        <w:t>Dominiak</w:t>
      </w:r>
      <w:proofErr w:type="spellEnd"/>
      <w:r>
        <w:t xml:space="preserve">, Igor Wysocki &amp; </w:t>
      </w:r>
      <w:proofErr w:type="spellStart"/>
      <w:r>
        <w:t>Stanisław</w:t>
      </w:r>
      <w:proofErr w:type="spellEnd"/>
      <w:r>
        <w:t xml:space="preserve"> </w:t>
      </w:r>
      <w:proofErr w:type="spellStart"/>
      <w:r>
        <w:t>Wójtowicz</w:t>
      </w:r>
      <w:proofErr w:type="spellEnd"/>
      <w:r>
        <w:t>, “</w:t>
      </w:r>
      <w:r>
        <w:rPr>
          <w:rStyle w:val="Hyperlink"/>
        </w:rPr>
        <w:t xml:space="preserve">Dialogical Estoppel, </w:t>
      </w:r>
      <w:proofErr w:type="spellStart"/>
      <w:r>
        <w:rPr>
          <w:rStyle w:val="Hyperlink"/>
        </w:rPr>
        <w:t>Erga</w:t>
      </w:r>
      <w:proofErr w:type="spellEnd"/>
      <w:r>
        <w:rPr>
          <w:rStyle w:val="Hyperlink"/>
        </w:rPr>
        <w:t xml:space="preserve"> Omnes Rights, and the Libertarian Theory of Punishment and Self-Defense</w:t>
      </w:r>
      <w:r>
        <w:t xml:space="preserve">,” </w:t>
      </w:r>
      <w:r>
        <w:rPr>
          <w:rStyle w:val="italic"/>
        </w:rPr>
        <w:t xml:space="preserve">J. Libertarian Stud. </w:t>
      </w:r>
      <w:r>
        <w:t>27, no. 1 (</w:t>
      </w:r>
      <w:proofErr w:type="gramStart"/>
      <w:r>
        <w:t>March,</w:t>
      </w:r>
      <w:proofErr w:type="gramEnd"/>
      <w:r>
        <w:t xml:space="preserve"> 2023; </w:t>
      </w:r>
      <w:r>
        <w:rPr>
          <w:rStyle w:val="Hyperlink"/>
        </w:rPr>
        <w:t>https://perma.cc/RP8Z-VE3C</w:t>
      </w:r>
      <w:r>
        <w:t>): 1–24.</w:t>
      </w:r>
    </w:p>
    <w:p w14:paraId="0A8251E6" w14:textId="77777777" w:rsidR="00B64282" w:rsidRDefault="00B64282" w:rsidP="00B64282">
      <w:pPr>
        <w:pStyle w:val="Footnotes"/>
      </w:pPr>
    </w:p>
  </w:footnote>
  <w:footnote w:id="85">
    <w:p w14:paraId="448C9389" w14:textId="77777777" w:rsidR="00B64282" w:rsidRDefault="00B64282" w:rsidP="00B64282">
      <w:pPr>
        <w:pStyle w:val="Footnotes"/>
        <w:rPr>
          <w:spacing w:val="1"/>
        </w:rPr>
      </w:pPr>
      <w:r>
        <w:rPr>
          <w:vertAlign w:val="superscript"/>
        </w:rPr>
        <w:footnoteRef/>
      </w:r>
      <w:r>
        <w:rPr>
          <w:spacing w:val="1"/>
        </w:rPr>
        <w:t> </w:t>
      </w:r>
      <w:r>
        <w:rPr>
          <w:rStyle w:val="italic"/>
          <w:spacing w:val="1"/>
        </w:rPr>
        <w:t>But see</w:t>
      </w:r>
      <w:r>
        <w:rPr>
          <w:spacing w:val="1"/>
        </w:rPr>
        <w:t xml:space="preserve"> Kinsella, “Fraud, Restitution, and Retaliation: The Libertarian Approach,” discussing practical problems with an actual institutionalized retributionist system and how the theoretical case for punitive rights could play a role in a restitution-based system. For a related commentary related to disputes in general, see Kinsella, “</w:t>
      </w:r>
      <w:r>
        <w:rPr>
          <w:rStyle w:val="Hyperlink"/>
          <w:spacing w:val="1"/>
        </w:rPr>
        <w:t>On the Obligation to Negotiate, Compromise, and Arbitrate</w:t>
      </w:r>
      <w:r>
        <w:rPr>
          <w:spacing w:val="1"/>
        </w:rPr>
        <w:t xml:space="preserve">,” </w:t>
      </w:r>
      <w:r>
        <w:rPr>
          <w:rStyle w:val="italic"/>
          <w:spacing w:val="1"/>
        </w:rPr>
        <w:t>StephanKinsella.com</w:t>
      </w:r>
      <w:r>
        <w:rPr>
          <w:spacing w:val="1"/>
        </w:rPr>
        <w:t xml:space="preserve"> (April 6, 2023).</w:t>
      </w:r>
    </w:p>
    <w:p w14:paraId="6004C456" w14:textId="77777777" w:rsidR="00B64282" w:rsidRDefault="00B64282" w:rsidP="00B64282">
      <w:pPr>
        <w:pStyle w:val="Footnotes"/>
      </w:pPr>
    </w:p>
  </w:footnote>
  <w:footnote w:id="86">
    <w:p w14:paraId="31ED01B7" w14:textId="77777777" w:rsidR="00B64282" w:rsidRDefault="00B64282" w:rsidP="00B64282">
      <w:pPr>
        <w:pStyle w:val="Footnotes"/>
      </w:pPr>
      <w:r>
        <w:rPr>
          <w:vertAlign w:val="superscript"/>
        </w:rPr>
        <w:footnoteRef/>
      </w:r>
      <w:r>
        <w:t> </w:t>
      </w:r>
      <w:r>
        <w:t xml:space="preserve">Lawrence Crocker, “The Upper Limit of Just Punishment,” </w:t>
      </w:r>
      <w:r>
        <w:rPr>
          <w:rStyle w:val="italic"/>
        </w:rPr>
        <w:t>Emory L. J.</w:t>
      </w:r>
      <w:r>
        <w:t xml:space="preserve"> 41 (1992): 1059–1110, at 1068.</w:t>
      </w:r>
    </w:p>
    <w:p w14:paraId="6C67A797" w14:textId="77777777" w:rsidR="00B64282" w:rsidRDefault="00B64282" w:rsidP="00B64282">
      <w:pPr>
        <w:pStyle w:val="Footnotes"/>
      </w:pPr>
    </w:p>
  </w:footnote>
  <w:footnote w:id="87">
    <w:p w14:paraId="5F952B16" w14:textId="77777777" w:rsidR="00B64282" w:rsidRDefault="00B64282" w:rsidP="00B64282">
      <w:pPr>
        <w:pStyle w:val="Footnotes"/>
      </w:pPr>
      <w:r>
        <w:rPr>
          <w:vertAlign w:val="superscript"/>
        </w:rPr>
        <w:footnoteRef/>
      </w:r>
      <w:r>
        <w:t> </w:t>
      </w:r>
      <w:r>
        <w:t>Hospers, “Retribution: The Ethics of Punishment,” p. 191 (emphasis added).</w:t>
      </w:r>
    </w:p>
    <w:p w14:paraId="78A2E619" w14:textId="77777777" w:rsidR="00B64282" w:rsidRDefault="00B64282" w:rsidP="00B64282">
      <w:pPr>
        <w:pStyle w:val="Footnotes"/>
      </w:pPr>
    </w:p>
  </w:footnote>
  <w:footnote w:id="88">
    <w:p w14:paraId="1C6237A2" w14:textId="77777777" w:rsidR="00B64282" w:rsidRDefault="00B64282" w:rsidP="00B64282">
      <w:pPr>
        <w:pStyle w:val="Footnotes"/>
        <w:rPr>
          <w:spacing w:val="1"/>
        </w:rPr>
      </w:pPr>
      <w:r>
        <w:rPr>
          <w:vertAlign w:val="superscript"/>
        </w:rPr>
        <w:footnoteRef/>
      </w:r>
      <w:r>
        <w:rPr>
          <w:spacing w:val="-1"/>
        </w:rPr>
        <w:t> </w:t>
      </w:r>
      <w:r>
        <w:rPr>
          <w:spacing w:val="-2"/>
        </w:rPr>
        <w:t xml:space="preserve">Herbert Morris, “Persons and Punishment,” in </w:t>
      </w:r>
      <w:r>
        <w:rPr>
          <w:rStyle w:val="italic"/>
          <w:spacing w:val="-2"/>
        </w:rPr>
        <w:t>On Guilt and Innocence: Essays in Legal</w:t>
      </w:r>
      <w:r>
        <w:rPr>
          <w:rStyle w:val="italic"/>
          <w:spacing w:val="-1"/>
        </w:rPr>
        <w:t xml:space="preserve"> </w:t>
      </w:r>
      <w:r>
        <w:rPr>
          <w:rStyle w:val="italic"/>
          <w:spacing w:val="1"/>
        </w:rPr>
        <w:t>Philosophy and Moral Psychology</w:t>
      </w:r>
      <w:r>
        <w:rPr>
          <w:spacing w:val="1"/>
        </w:rPr>
        <w:t xml:space="preserve"> (Berkeley: University of California Press, 1976), p. 52 (emphasis added); see also pp. 31, 52, </w:t>
      </w:r>
      <w:r>
        <w:rPr>
          <w:rStyle w:val="italic"/>
          <w:spacing w:val="1"/>
        </w:rPr>
        <w:t>et pass.</w:t>
      </w:r>
      <w:r>
        <w:rPr>
          <w:spacing w:val="1"/>
        </w:rPr>
        <w:t>, discussing the right to bodily integrity and the waiver of this right.</w:t>
      </w:r>
    </w:p>
    <w:p w14:paraId="7EFD0090" w14:textId="77777777" w:rsidR="00B64282" w:rsidRDefault="00B64282" w:rsidP="00B64282">
      <w:pPr>
        <w:pStyle w:val="Footnotes"/>
      </w:pPr>
    </w:p>
  </w:footnote>
  <w:footnote w:id="89">
    <w:p w14:paraId="4B0B95CA" w14:textId="77777777" w:rsidR="00B64282" w:rsidRDefault="00B64282" w:rsidP="00B64282">
      <w:pPr>
        <w:pStyle w:val="Footnotes"/>
      </w:pPr>
      <w:r>
        <w:rPr>
          <w:vertAlign w:val="superscript"/>
        </w:rPr>
        <w:footnoteRef/>
      </w:r>
      <w:r>
        <w:t> </w:t>
      </w:r>
      <w:r>
        <w:t xml:space="preserve">G.W.F. Hegel, “Punishment as a Right,” in </w:t>
      </w:r>
      <w:proofErr w:type="spellStart"/>
      <w:r>
        <w:t>Ezorsky</w:t>
      </w:r>
      <w:proofErr w:type="spellEnd"/>
      <w:r>
        <w:t xml:space="preserve">, ed., </w:t>
      </w:r>
      <w:r>
        <w:rPr>
          <w:rStyle w:val="italic"/>
        </w:rPr>
        <w:t>Philosophical Perspectives on Punishment</w:t>
      </w:r>
      <w:r>
        <w:t xml:space="preserve">, at 107 (emphasis in last sentence added, brackets in original) (excerpted from G.W.F. Hegel, </w:t>
      </w:r>
      <w:r>
        <w:rPr>
          <w:rStyle w:val="italic"/>
        </w:rPr>
        <w:t>The Philosophy of Right</w:t>
      </w:r>
      <w:r>
        <w:t>, T.M. Knox, trans. (New York: St. Martin’s Press, 1969), § 100).</w:t>
      </w:r>
    </w:p>
    <w:p w14:paraId="167E3B6E" w14:textId="77777777" w:rsidR="00B64282" w:rsidRDefault="00B64282" w:rsidP="00B64282">
      <w:pPr>
        <w:pStyle w:val="Footnotes"/>
      </w:pPr>
    </w:p>
  </w:footnote>
  <w:footnote w:id="90">
    <w:p w14:paraId="03BAA4A9" w14:textId="77777777" w:rsidR="00B64282" w:rsidRDefault="00B64282" w:rsidP="00B64282">
      <w:pPr>
        <w:pStyle w:val="Footnotes"/>
      </w:pPr>
      <w:r>
        <w:rPr>
          <w:vertAlign w:val="superscript"/>
        </w:rPr>
        <w:footnoteRef/>
      </w:r>
      <w:r>
        <w:t> </w:t>
      </w:r>
      <w:r>
        <w:t xml:space="preserve">Pauley, “The Jurisprudence of Crime and Punishment from Plato to Hegel,” pp. 140–41, citing Peter J. Steinberger, “Hegel on Crime and Punishment,” </w:t>
      </w:r>
      <w:r>
        <w:rPr>
          <w:rStyle w:val="italic"/>
        </w:rPr>
        <w:t xml:space="preserve">Am. Pol. Science Rev. </w:t>
      </w:r>
      <w:r>
        <w:t>77, no. 4 (Dec. 1983): 858–70, p. 860.</w:t>
      </w:r>
    </w:p>
    <w:p w14:paraId="2A4B95A0" w14:textId="77777777" w:rsidR="00B64282" w:rsidRDefault="00B64282" w:rsidP="00B64282">
      <w:pPr>
        <w:pStyle w:val="Footnotes"/>
      </w:pPr>
    </w:p>
  </w:footnote>
  <w:footnote w:id="91">
    <w:p w14:paraId="30B7F7BD" w14:textId="77777777" w:rsidR="00B64282" w:rsidRDefault="00B64282" w:rsidP="00B64282">
      <w:pPr>
        <w:pStyle w:val="Footnotes"/>
      </w:pPr>
      <w:r>
        <w:rPr>
          <w:vertAlign w:val="superscript"/>
        </w:rPr>
        <w:footnoteRef/>
      </w:r>
      <w:r>
        <w:t> </w:t>
      </w:r>
      <w:r>
        <w:t>King, “A Rationale for Punishment,” p. 154 (emphasis added).</w:t>
      </w:r>
    </w:p>
    <w:p w14:paraId="1CA7D49F" w14:textId="77777777" w:rsidR="00B64282" w:rsidRDefault="00B64282" w:rsidP="00B64282">
      <w:pPr>
        <w:pStyle w:val="Footnotes"/>
      </w:pPr>
    </w:p>
  </w:footnote>
  <w:footnote w:id="92">
    <w:p w14:paraId="6D948BC2" w14:textId="77777777" w:rsidR="00B64282" w:rsidRDefault="00B64282" w:rsidP="00B64282">
      <w:pPr>
        <w:pStyle w:val="Footnotes"/>
      </w:pPr>
      <w:r>
        <w:rPr>
          <w:vertAlign w:val="superscript"/>
        </w:rPr>
        <w:footnoteRef/>
      </w:r>
      <w:r>
        <w:t> </w:t>
      </w:r>
      <w:r>
        <w:t xml:space="preserve">Locke, </w:t>
      </w:r>
      <w:r>
        <w:rPr>
          <w:rStyle w:val="italic"/>
        </w:rPr>
        <w:t>Second Treatise on Civil Government</w:t>
      </w:r>
      <w:r>
        <w:t>, §11.</w:t>
      </w:r>
    </w:p>
    <w:p w14:paraId="76C293EC" w14:textId="77777777" w:rsidR="00B64282" w:rsidRDefault="00B64282" w:rsidP="00B64282">
      <w:pPr>
        <w:pStyle w:val="Footnotes"/>
      </w:pPr>
    </w:p>
  </w:footnote>
  <w:footnote w:id="93">
    <w:p w14:paraId="21B1CE15" w14:textId="77777777" w:rsidR="00B64282" w:rsidRDefault="00B64282" w:rsidP="00B64282">
      <w:pPr>
        <w:pStyle w:val="Footnotes"/>
      </w:pPr>
      <w:r>
        <w:rPr>
          <w:vertAlign w:val="superscript"/>
        </w:rPr>
        <w:footnoteRef/>
      </w:r>
      <w:r>
        <w:t> </w:t>
      </w:r>
      <w:r>
        <w:t xml:space="preserve">Machan, </w:t>
      </w:r>
      <w:r>
        <w:rPr>
          <w:rStyle w:val="italic"/>
        </w:rPr>
        <w:t>Individuals and Their Rights</w:t>
      </w:r>
      <w:r>
        <w:t>, p. 176.</w:t>
      </w:r>
    </w:p>
    <w:p w14:paraId="3D3BAD28" w14:textId="77777777" w:rsidR="00B64282" w:rsidRDefault="00B64282" w:rsidP="00B64282">
      <w:pPr>
        <w:pStyle w:val="Footnotes"/>
      </w:pPr>
    </w:p>
  </w:footnote>
  <w:footnote w:id="94">
    <w:p w14:paraId="356EB3D8" w14:textId="77777777" w:rsidR="00B64282" w:rsidRDefault="00B64282" w:rsidP="00B64282">
      <w:pPr>
        <w:pStyle w:val="Footnotes"/>
      </w:pPr>
      <w:r>
        <w:rPr>
          <w:vertAlign w:val="superscript"/>
        </w:rPr>
        <w:footnoteRef/>
      </w:r>
      <w:r>
        <w:t> </w:t>
      </w:r>
      <w:r>
        <w:t xml:space="preserve">Jan </w:t>
      </w:r>
      <w:proofErr w:type="spellStart"/>
      <w:r>
        <w:t>Narveson</w:t>
      </w:r>
      <w:proofErr w:type="spellEnd"/>
      <w:r>
        <w:t>,</w:t>
      </w:r>
      <w:r>
        <w:rPr>
          <w:rStyle w:val="italic"/>
        </w:rPr>
        <w:t xml:space="preserve"> The Libertarian Idea</w:t>
      </w:r>
      <w:r>
        <w:t>, p. 230, reissue ed. (Broadview Press, 2001). See also p. 159, subsection entitled “Being Able to Complain.”</w:t>
      </w:r>
    </w:p>
    <w:p w14:paraId="72F636EA" w14:textId="77777777" w:rsidR="00B64282" w:rsidRDefault="00B64282" w:rsidP="00B64282">
      <w:pPr>
        <w:pStyle w:val="Footnotes"/>
      </w:pPr>
    </w:p>
  </w:footnote>
  <w:footnote w:id="95">
    <w:p w14:paraId="6AA599DA" w14:textId="77777777" w:rsidR="00B64282" w:rsidRDefault="00B64282" w:rsidP="00B64282">
      <w:pPr>
        <w:pStyle w:val="Footnotes"/>
      </w:pPr>
      <w:r>
        <w:rPr>
          <w:vertAlign w:val="superscript"/>
        </w:rPr>
        <w:footnoteRef/>
      </w:r>
      <w:r>
        <w:t> </w:t>
      </w:r>
      <w:r>
        <w:t xml:space="preserve">Rasmussen &amp; Den </w:t>
      </w:r>
      <w:proofErr w:type="spellStart"/>
      <w:r>
        <w:t>Uyl</w:t>
      </w:r>
      <w:proofErr w:type="spellEnd"/>
      <w:r>
        <w:t xml:space="preserve">, </w:t>
      </w:r>
      <w:r>
        <w:rPr>
          <w:rStyle w:val="italic"/>
        </w:rPr>
        <w:t>Liberty and Nature</w:t>
      </w:r>
      <w:r>
        <w:t>, p. 85.</w:t>
      </w:r>
    </w:p>
    <w:p w14:paraId="6E0C4125" w14:textId="77777777" w:rsidR="00B64282" w:rsidRDefault="00B64282" w:rsidP="00B64282">
      <w:pPr>
        <w:pStyle w:val="Footnotes"/>
      </w:pPr>
    </w:p>
  </w:footnote>
  <w:footnote w:id="96">
    <w:p w14:paraId="672C196E" w14:textId="77777777" w:rsidR="00B64282" w:rsidRDefault="00B64282" w:rsidP="00B64282">
      <w:pPr>
        <w:pStyle w:val="Footnotes"/>
      </w:pPr>
      <w:r>
        <w:rPr>
          <w:vertAlign w:val="superscript"/>
        </w:rPr>
        <w:footnoteRef/>
      </w:r>
      <w:r>
        <w:t> </w:t>
      </w:r>
      <w:r>
        <w:t>Randy E. Barnett, “</w:t>
      </w:r>
      <w:r>
        <w:rPr>
          <w:rStyle w:val="Hyperlink"/>
        </w:rPr>
        <w:t>Contract Remedies and Inalienable Rights</w:t>
      </w:r>
      <w:r>
        <w:t xml:space="preserve">,” </w:t>
      </w:r>
      <w:r>
        <w:rPr>
          <w:rStyle w:val="italic"/>
        </w:rPr>
        <w:t xml:space="preserve">Social </w:t>
      </w:r>
      <w:proofErr w:type="spellStart"/>
      <w:r>
        <w:rPr>
          <w:rStyle w:val="italic"/>
        </w:rPr>
        <w:t>Pol’y</w:t>
      </w:r>
      <w:proofErr w:type="spellEnd"/>
      <w:r>
        <w:rPr>
          <w:rStyle w:val="italic"/>
        </w:rPr>
        <w:t xml:space="preserve"> &amp; Phil. </w:t>
      </w:r>
      <w:r>
        <w:t xml:space="preserve">4, no. 1 (Autumn 1986; </w:t>
      </w:r>
      <w:r>
        <w:rPr>
          <w:rStyle w:val="Hyperlink"/>
        </w:rPr>
        <w:t>https://perma.cc/2RTU-L7EQ</w:t>
      </w:r>
      <w:r>
        <w:t xml:space="preserve">): 179–202, p. 186 (citing Diana T. Meyers, </w:t>
      </w:r>
      <w:r>
        <w:rPr>
          <w:rStyle w:val="italic"/>
        </w:rPr>
        <w:t>Inalienable Rights: A Defense</w:t>
      </w:r>
      <w:r>
        <w:t xml:space="preserve"> (New York: Columbia University Press, 1985), p. 14). For more on forfeiture, see references in “Knowledge, Calculation, Conflict, and Law” (</w:t>
      </w:r>
      <w:proofErr w:type="spellStart"/>
      <w:r>
        <w:t>ch.</w:t>
      </w:r>
      <w:proofErr w:type="spellEnd"/>
      <w:r>
        <w:t xml:space="preserve"> 19), n.81 and “A Libertarian Theory of Punishment and Rights” (</w:t>
      </w:r>
      <w:proofErr w:type="spellStart"/>
      <w:r>
        <w:t>ch.</w:t>
      </w:r>
      <w:proofErr w:type="spellEnd"/>
      <w:r>
        <w:t xml:space="preserve"> 5), n.88.</w:t>
      </w:r>
    </w:p>
    <w:p w14:paraId="21D88DDE" w14:textId="77777777" w:rsidR="00B64282" w:rsidRDefault="00B64282" w:rsidP="00B64282">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282"/>
    <w:rsid w:val="00650923"/>
    <w:rsid w:val="00867903"/>
    <w:rsid w:val="00975CD6"/>
    <w:rsid w:val="00AD3865"/>
    <w:rsid w:val="00B64282"/>
    <w:rsid w:val="00B84D57"/>
    <w:rsid w:val="00B95331"/>
    <w:rsid w:val="00D15055"/>
    <w:rsid w:val="00E27307"/>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B97BD5"/>
  <w14:defaultImageDpi w14:val="32767"/>
  <w15:chartTrackingRefBased/>
  <w15:docId w15:val="{D3C2A664-B3B3-E34D-B44C-653C931E9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42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642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428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428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428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428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428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428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428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428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428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428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428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428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42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42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42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4282"/>
    <w:rPr>
      <w:rFonts w:eastAsiaTheme="majorEastAsia" w:cstheme="majorBidi"/>
      <w:color w:val="272727" w:themeColor="text1" w:themeTint="D8"/>
    </w:rPr>
  </w:style>
  <w:style w:type="paragraph" w:styleId="Title">
    <w:name w:val="Title"/>
    <w:basedOn w:val="Normal"/>
    <w:next w:val="Normal"/>
    <w:link w:val="TitleChar"/>
    <w:uiPriority w:val="10"/>
    <w:qFormat/>
    <w:rsid w:val="00B6428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42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428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42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428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64282"/>
    <w:rPr>
      <w:i/>
      <w:iCs/>
      <w:color w:val="404040" w:themeColor="text1" w:themeTint="BF"/>
    </w:rPr>
  </w:style>
  <w:style w:type="paragraph" w:styleId="ListParagraph">
    <w:name w:val="List Paragraph"/>
    <w:basedOn w:val="Normal"/>
    <w:uiPriority w:val="34"/>
    <w:qFormat/>
    <w:rsid w:val="00B64282"/>
    <w:pPr>
      <w:ind w:left="720"/>
      <w:contextualSpacing/>
    </w:pPr>
  </w:style>
  <w:style w:type="character" w:styleId="IntenseEmphasis">
    <w:name w:val="Intense Emphasis"/>
    <w:basedOn w:val="DefaultParagraphFont"/>
    <w:uiPriority w:val="21"/>
    <w:qFormat/>
    <w:rsid w:val="00B64282"/>
    <w:rPr>
      <w:i/>
      <w:iCs/>
      <w:color w:val="0F4761" w:themeColor="accent1" w:themeShade="BF"/>
    </w:rPr>
  </w:style>
  <w:style w:type="paragraph" w:styleId="IntenseQuote">
    <w:name w:val="Intense Quote"/>
    <w:basedOn w:val="Normal"/>
    <w:next w:val="Normal"/>
    <w:link w:val="IntenseQuoteChar"/>
    <w:uiPriority w:val="30"/>
    <w:qFormat/>
    <w:rsid w:val="00B642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4282"/>
    <w:rPr>
      <w:i/>
      <w:iCs/>
      <w:color w:val="0F4761" w:themeColor="accent1" w:themeShade="BF"/>
    </w:rPr>
  </w:style>
  <w:style w:type="character" w:styleId="IntenseReference">
    <w:name w:val="Intense Reference"/>
    <w:basedOn w:val="DefaultParagraphFont"/>
    <w:uiPriority w:val="32"/>
    <w:qFormat/>
    <w:rsid w:val="00B64282"/>
    <w:rPr>
      <w:b/>
      <w:bCs/>
      <w:smallCaps/>
      <w:color w:val="0F4761" w:themeColor="accent1" w:themeShade="BF"/>
      <w:spacing w:val="5"/>
    </w:rPr>
  </w:style>
  <w:style w:type="paragraph" w:customStyle="1" w:styleId="body">
    <w:name w:val="body"/>
    <w:basedOn w:val="Normal"/>
    <w:uiPriority w:val="99"/>
    <w:rsid w:val="00B64282"/>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Subheads">
    <w:name w:val="Subheads"/>
    <w:basedOn w:val="Normal"/>
    <w:uiPriority w:val="99"/>
    <w:rsid w:val="00B64282"/>
    <w:pPr>
      <w:autoSpaceDE w:val="0"/>
      <w:autoSpaceDN w:val="0"/>
      <w:adjustRightInd w:val="0"/>
      <w:spacing w:before="720" w:after="180" w:line="280" w:lineRule="atLeast"/>
      <w:jc w:val="center"/>
      <w:textAlignment w:val="center"/>
    </w:pPr>
    <w:rPr>
      <w:rFonts w:ascii="Le Monde Livre Cla Std Book" w:hAnsi="Le Monde Livre Cla Std Book" w:cs="Le Monde Livre Cla Std Book"/>
      <w:caps/>
      <w:color w:val="000000"/>
      <w:spacing w:val="4"/>
      <w:kern w:val="0"/>
    </w:rPr>
  </w:style>
  <w:style w:type="paragraph" w:customStyle="1" w:styleId="FirstParagraph">
    <w:name w:val="First Paragraph"/>
    <w:basedOn w:val="body"/>
    <w:uiPriority w:val="99"/>
    <w:rsid w:val="00B64282"/>
    <w:pPr>
      <w:ind w:firstLine="0"/>
    </w:pPr>
  </w:style>
  <w:style w:type="paragraph" w:customStyle="1" w:styleId="Subhead2">
    <w:name w:val="Subhead 2"/>
    <w:basedOn w:val="FirstParagraph"/>
    <w:uiPriority w:val="99"/>
    <w:rsid w:val="00B64282"/>
    <w:pPr>
      <w:spacing w:before="360" w:after="180"/>
      <w:jc w:val="center"/>
    </w:pPr>
    <w:rPr>
      <w:i/>
      <w:iCs/>
      <w:sz w:val="26"/>
      <w:szCs w:val="26"/>
    </w:rPr>
  </w:style>
  <w:style w:type="paragraph" w:customStyle="1" w:styleId="Subhead3">
    <w:name w:val="Subhead 3"/>
    <w:basedOn w:val="body"/>
    <w:uiPriority w:val="99"/>
    <w:rsid w:val="00B64282"/>
    <w:pPr>
      <w:spacing w:before="270"/>
      <w:ind w:firstLine="0"/>
    </w:pPr>
    <w:rPr>
      <w:rFonts w:ascii="Adobe Caslon Pro Bold" w:hAnsi="Adobe Caslon Pro Bold" w:cs="Adobe Caslon Pro Bold"/>
      <w:b/>
      <w:bCs/>
    </w:rPr>
  </w:style>
  <w:style w:type="paragraph" w:customStyle="1" w:styleId="blockquote">
    <w:name w:val="blockquote"/>
    <w:basedOn w:val="body"/>
    <w:uiPriority w:val="99"/>
    <w:rsid w:val="00B64282"/>
    <w:pPr>
      <w:spacing w:before="180" w:after="180" w:line="240" w:lineRule="atLeast"/>
      <w:ind w:left="360" w:right="360" w:firstLine="0"/>
    </w:pPr>
    <w:rPr>
      <w:sz w:val="20"/>
      <w:szCs w:val="20"/>
    </w:rPr>
  </w:style>
  <w:style w:type="paragraph" w:customStyle="1" w:styleId="Footnotes">
    <w:name w:val="Footnotes"/>
    <w:basedOn w:val="Normal"/>
    <w:uiPriority w:val="99"/>
    <w:rsid w:val="00B64282"/>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FootnoteBlockquotes">
    <w:name w:val="Footnote Blockquotes"/>
    <w:basedOn w:val="Footnotes"/>
    <w:uiPriority w:val="99"/>
    <w:rsid w:val="00B64282"/>
    <w:pPr>
      <w:ind w:left="270" w:right="270" w:firstLine="0"/>
    </w:pPr>
    <w:rPr>
      <w:spacing w:val="1"/>
    </w:rPr>
  </w:style>
  <w:style w:type="character" w:customStyle="1" w:styleId="italic">
    <w:name w:val="italic"/>
    <w:uiPriority w:val="99"/>
    <w:rsid w:val="00B64282"/>
    <w:rPr>
      <w:i/>
      <w:iCs/>
    </w:rPr>
  </w:style>
  <w:style w:type="character" w:customStyle="1" w:styleId="FootnoteInTextNumber">
    <w:name w:val="Footnote InText Number"/>
    <w:uiPriority w:val="99"/>
    <w:rsid w:val="00B64282"/>
    <w:rPr>
      <w:position w:val="2"/>
      <w:sz w:val="20"/>
      <w:szCs w:val="20"/>
      <w:vertAlign w:val="superscript"/>
    </w:rPr>
  </w:style>
  <w:style w:type="character" w:styleId="Hyperlink">
    <w:name w:val="Hyperlink"/>
    <w:basedOn w:val="DefaultParagraphFont"/>
    <w:uiPriority w:val="99"/>
    <w:rsid w:val="00B64282"/>
    <w:rPr>
      <w:color w:val="205D9E"/>
      <w:u w:val="thick"/>
    </w:rPr>
  </w:style>
  <w:style w:type="character" w:customStyle="1" w:styleId="HyperlinkitalicsFootnotes">
    <w:name w:val="Hyperlink italics Footnotes"/>
    <w:basedOn w:val="Hyperlink"/>
    <w:uiPriority w:val="99"/>
    <w:rsid w:val="00B64282"/>
    <w:rPr>
      <w:i/>
      <w:iCs/>
      <w:color w:val="205D9E"/>
      <w:u w:val="thick"/>
    </w:rPr>
  </w:style>
  <w:style w:type="paragraph" w:customStyle="1" w:styleId="ChapterNumbers">
    <w:name w:val="Chapter Numbers"/>
    <w:basedOn w:val="Normal"/>
    <w:uiPriority w:val="99"/>
    <w:rsid w:val="00B64282"/>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B64282"/>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body"/>
    <w:uiPriority w:val="99"/>
    <w:rsid w:val="00B64282"/>
    <w:pPr>
      <w:spacing w:line="260" w:lineRule="atLeast"/>
      <w:ind w:firstLine="0"/>
      <w:jc w:val="center"/>
    </w:pPr>
    <w:rPr>
      <w:sz w:val="20"/>
      <w:szCs w:val="20"/>
    </w:rPr>
  </w:style>
  <w:style w:type="paragraph" w:customStyle="1" w:styleId="TOCsInChapter1">
    <w:name w:val="TOCs In Chapter 1"/>
    <w:basedOn w:val="Normal"/>
    <w:uiPriority w:val="99"/>
    <w:rsid w:val="00B64282"/>
    <w:pPr>
      <w:tabs>
        <w:tab w:val="right" w:pos="3000"/>
      </w:tabs>
      <w:autoSpaceDE w:val="0"/>
      <w:autoSpaceDN w:val="0"/>
      <w:adjustRightInd w:val="0"/>
      <w:spacing w:line="230" w:lineRule="atLeast"/>
      <w:textAlignment w:val="center"/>
    </w:pPr>
    <w:rPr>
      <w:rFonts w:ascii="Adobe Caslon Pro Bold" w:hAnsi="Adobe Caslon Pro Bold" w:cs="Adobe Caslon Pro Bold"/>
      <w:b/>
      <w:bCs/>
      <w:color w:val="000000"/>
      <w:kern w:val="0"/>
      <w:sz w:val="18"/>
      <w:szCs w:val="18"/>
    </w:rPr>
  </w:style>
  <w:style w:type="paragraph" w:customStyle="1" w:styleId="TOCsinChapter2">
    <w:name w:val="TOCs in Chapter 2"/>
    <w:basedOn w:val="Normal"/>
    <w:uiPriority w:val="99"/>
    <w:rsid w:val="00B64282"/>
    <w:pPr>
      <w:tabs>
        <w:tab w:val="right" w:pos="3000"/>
      </w:tabs>
      <w:autoSpaceDE w:val="0"/>
      <w:autoSpaceDN w:val="0"/>
      <w:adjustRightInd w:val="0"/>
      <w:spacing w:line="210" w:lineRule="atLeast"/>
      <w:ind w:left="320"/>
      <w:textAlignment w:val="center"/>
    </w:pPr>
    <w:rPr>
      <w:rFonts w:ascii="Adobe Caslon Pro" w:hAnsi="Adobe Caslon Pro" w:cs="Adobe Caslon Pro"/>
      <w:color w:val="000000"/>
      <w:kern w:val="0"/>
      <w:sz w:val="16"/>
      <w:szCs w:val="16"/>
    </w:rPr>
  </w:style>
  <w:style w:type="paragraph" w:customStyle="1" w:styleId="TOCinChapter3">
    <w:name w:val="TOC in Chapter 3"/>
    <w:basedOn w:val="Normal"/>
    <w:uiPriority w:val="99"/>
    <w:rsid w:val="00B64282"/>
    <w:pPr>
      <w:tabs>
        <w:tab w:val="right" w:pos="3000"/>
      </w:tabs>
      <w:autoSpaceDE w:val="0"/>
      <w:autoSpaceDN w:val="0"/>
      <w:adjustRightInd w:val="0"/>
      <w:spacing w:line="230" w:lineRule="atLeast"/>
      <w:ind w:left="630"/>
      <w:textAlignment w:val="center"/>
    </w:pPr>
    <w:rPr>
      <w:rFonts w:ascii="Adobe Caslon Pro" w:hAnsi="Adobe Caslon Pro" w:cs="Adobe Caslon Pro"/>
      <w:color w:val="000000"/>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31</Pages>
  <Words>11018</Words>
  <Characters>62807</Characters>
  <Application>Microsoft Office Word</Application>
  <DocSecurity>0</DocSecurity>
  <Lines>523</Lines>
  <Paragraphs>147</Paragraphs>
  <ScaleCrop>false</ScaleCrop>
  <Company/>
  <LinksUpToDate>false</LinksUpToDate>
  <CharactersWithSpaces>73678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1</cp:revision>
  <dcterms:created xsi:type="dcterms:W3CDTF">2024-11-27T21:32:00Z</dcterms:created>
  <dcterms:modified xsi:type="dcterms:W3CDTF">2024-11-27T23:19:00Z</dcterms:modified>
</cp:coreProperties>
</file>