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DAD16" w14:textId="77777777" w:rsidR="0004686D" w:rsidRDefault="0004686D" w:rsidP="0004686D">
      <w:pPr>
        <w:pStyle w:val="ChapterNumbers"/>
      </w:pPr>
      <w:r>
        <w:t>10</w:t>
      </w:r>
    </w:p>
    <w:p w14:paraId="1F32F0E8" w14:textId="77777777" w:rsidR="0004686D" w:rsidRDefault="0004686D" w:rsidP="0004686D">
      <w:pPr>
        <w:pStyle w:val="ChapterTitles"/>
      </w:pPr>
      <w:r>
        <w:t xml:space="preserve">Inalienability and Punishment: </w:t>
      </w:r>
    </w:p>
    <w:p w14:paraId="0ACE2CBF" w14:textId="77777777" w:rsidR="0004686D" w:rsidRDefault="0004686D" w:rsidP="0004686D">
      <w:pPr>
        <w:pStyle w:val="ChapterTitles"/>
        <w:spacing w:line="480" w:lineRule="auto"/>
        <w:rPr>
          <w:sz w:val="26"/>
          <w:szCs w:val="26"/>
        </w:rPr>
      </w:pPr>
      <w:r>
        <w:rPr>
          <w:sz w:val="26"/>
          <w:szCs w:val="26"/>
        </w:rPr>
        <w:t>A Reply to George Smith</w:t>
      </w:r>
    </w:p>
    <w:p w14:paraId="56195D29" w14:textId="77777777" w:rsidR="0004686D" w:rsidRDefault="0004686D" w:rsidP="0004686D">
      <w:pPr>
        <w:pStyle w:val="ChapterIntros"/>
        <w:rPr>
          <w:spacing w:val="1"/>
        </w:rPr>
      </w:pPr>
    </w:p>
    <w:p w14:paraId="11D9AC8B" w14:textId="23D275FB" w:rsidR="0004686D" w:rsidRDefault="0004686D" w:rsidP="0004686D">
      <w:pPr>
        <w:pStyle w:val="ChapterIntros"/>
        <w:rPr>
          <w:spacing w:val="1"/>
        </w:rPr>
      </w:pPr>
      <w:r>
        <w:rPr>
          <w:spacing w:val="1"/>
        </w:rPr>
        <w:t xml:space="preserve">George H. Smith published “A Killer’s Right to Life” in </w:t>
      </w:r>
      <w:r>
        <w:rPr>
          <w:rStyle w:val="italic"/>
          <w:spacing w:val="1"/>
        </w:rPr>
        <w:t>Liberty</w:t>
      </w:r>
      <w:r>
        <w:rPr>
          <w:spacing w:val="1"/>
        </w:rPr>
        <w:t xml:space="preserve"> magazine in 1996, making various arguments and claims about </w:t>
      </w:r>
      <w:proofErr w:type="gramStart"/>
      <w:r>
        <w:rPr>
          <w:spacing w:val="1"/>
        </w:rPr>
        <w:t>inalienability.</w:t>
      </w:r>
      <w:r>
        <w:rPr>
          <w:spacing w:val="1"/>
          <w:vertAlign w:val="superscript"/>
        </w:rPr>
        <w:t>*</w:t>
      </w:r>
      <w:proofErr w:type="gramEnd"/>
      <w:r>
        <w:rPr>
          <w:spacing w:val="1"/>
        </w:rPr>
        <w:t xml:space="preserve"> I responded in the </w:t>
      </w:r>
      <w:r>
        <w:rPr>
          <w:rStyle w:val="italic"/>
          <w:spacing w:val="1"/>
        </w:rPr>
        <w:t xml:space="preserve">Journal of Libertarian </w:t>
      </w:r>
      <w:proofErr w:type="gramStart"/>
      <w:r>
        <w:rPr>
          <w:rStyle w:val="italic"/>
          <w:spacing w:val="1"/>
        </w:rPr>
        <w:t>Studies</w:t>
      </w:r>
      <w:r>
        <w:rPr>
          <w:spacing w:val="1"/>
        </w:rPr>
        <w:t>,</w:t>
      </w:r>
      <w:r>
        <w:rPr>
          <w:spacing w:val="1"/>
          <w:sz w:val="18"/>
          <w:szCs w:val="18"/>
          <w:vertAlign w:val="superscript"/>
        </w:rPr>
        <w:t>†</w:t>
      </w:r>
      <w:proofErr w:type="gramEnd"/>
      <w:r>
        <w:rPr>
          <w:spacing w:val="1"/>
        </w:rPr>
        <w:t xml:space="preserve"> in a piece which complements and supplements my previous articles on the inalienability and punishment issues, now chapters 5 and 9 in the present volume. Despite my disagreements with Smith on this issue, I respect and have learned from his work, such as his great essay “Justice Entrepreneurship in a Free Market</w:t>
      </w:r>
      <w:proofErr w:type="gramStart"/>
      <w:r>
        <w:rPr>
          <w:spacing w:val="1"/>
        </w:rPr>
        <w:t>.”</w:t>
      </w:r>
      <w:r>
        <w:rPr>
          <w:spacing w:val="1"/>
          <w:sz w:val="18"/>
          <w:szCs w:val="18"/>
          <w:vertAlign w:val="superscript"/>
        </w:rPr>
        <w:t>†</w:t>
      </w:r>
      <w:proofErr w:type="gramEnd"/>
      <w:r>
        <w:rPr>
          <w:spacing w:val="1"/>
          <w:sz w:val="18"/>
          <w:szCs w:val="18"/>
          <w:vertAlign w:val="superscript"/>
        </w:rPr>
        <w:t>†</w:t>
      </w:r>
      <w:r>
        <w:rPr>
          <w:spacing w:val="1"/>
        </w:rPr>
        <w:t xml:space="preserve"> </w:t>
      </w:r>
    </w:p>
    <w:p w14:paraId="444D1FA1" w14:textId="77777777" w:rsidR="0004686D" w:rsidRDefault="0004686D" w:rsidP="0004686D">
      <w:pPr>
        <w:pStyle w:val="ChapterIntros"/>
        <w:rPr>
          <w:spacing w:val="1"/>
        </w:rPr>
      </w:pPr>
    </w:p>
    <w:p w14:paraId="4AA4559C" w14:textId="77777777" w:rsidR="0004686D" w:rsidRPr="0004686D" w:rsidRDefault="0004686D" w:rsidP="0004686D">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04686D">
        <w:rPr>
          <w:rFonts w:ascii="Adobe Caslon Pro" w:hAnsi="Adobe Caslon Pro" w:cs="Adobe Caslon Pro"/>
          <w:color w:val="000000"/>
          <w:spacing w:val="4"/>
          <w:kern w:val="0"/>
          <w:sz w:val="20"/>
          <w:szCs w:val="20"/>
          <w:vertAlign w:val="superscript"/>
        </w:rPr>
        <w:t>*</w:t>
      </w:r>
      <w:r w:rsidRPr="0004686D">
        <w:rPr>
          <w:rFonts w:ascii="Adobe Caslon Pro" w:hAnsi="Adobe Caslon Pro" w:cs="Adobe Caslon Pro"/>
          <w:color w:val="000000"/>
          <w:kern w:val="0"/>
          <w:sz w:val="18"/>
          <w:szCs w:val="18"/>
        </w:rPr>
        <w:tab/>
      </w:r>
      <w:r w:rsidRPr="0004686D">
        <w:rPr>
          <w:rFonts w:ascii="Adobe Caslon Pro" w:hAnsi="Adobe Caslon Pro" w:cs="Adobe Caslon Pro"/>
          <w:color w:val="000000"/>
          <w:spacing w:val="3"/>
          <w:kern w:val="0"/>
          <w:sz w:val="18"/>
          <w:szCs w:val="18"/>
        </w:rPr>
        <w:t xml:space="preserve">George H. Smith, “A Killer’s Right to Life,” </w:t>
      </w:r>
      <w:r w:rsidRPr="0004686D">
        <w:rPr>
          <w:rFonts w:ascii="Adobe Caslon Pro" w:hAnsi="Adobe Caslon Pro" w:cs="Adobe Caslon Pro"/>
          <w:i/>
          <w:iCs/>
          <w:color w:val="000000"/>
          <w:spacing w:val="3"/>
          <w:kern w:val="0"/>
          <w:sz w:val="18"/>
          <w:szCs w:val="18"/>
        </w:rPr>
        <w:t>Liberty</w:t>
      </w:r>
      <w:r w:rsidRPr="0004686D">
        <w:rPr>
          <w:rFonts w:ascii="Adobe Caslon Pro" w:hAnsi="Adobe Caslon Pro" w:cs="Adobe Caslon Pro"/>
          <w:color w:val="000000"/>
          <w:spacing w:val="3"/>
          <w:kern w:val="0"/>
          <w:sz w:val="18"/>
          <w:szCs w:val="18"/>
        </w:rPr>
        <w:t xml:space="preserve"> 10, no. 2 (Nov. 1996; https://perma.cc/8U8C-ZTAR): 49–54 &amp; 68–69.</w:t>
      </w:r>
    </w:p>
    <w:p w14:paraId="1D752A0D" w14:textId="77777777" w:rsidR="0004686D" w:rsidRPr="0004686D" w:rsidRDefault="0004686D" w:rsidP="0004686D">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04686D">
        <w:rPr>
          <w:rFonts w:ascii="Adobe Caslon Pro" w:hAnsi="Adobe Caslon Pro" w:cs="Adobe Caslon Pro"/>
          <w:color w:val="000000"/>
          <w:kern w:val="0"/>
          <w:sz w:val="18"/>
          <w:szCs w:val="18"/>
          <w:vertAlign w:val="superscript"/>
        </w:rPr>
        <w:t>†</w:t>
      </w:r>
      <w:r w:rsidRPr="0004686D">
        <w:rPr>
          <w:rFonts w:ascii="Adobe Caslon Pro" w:hAnsi="Adobe Caslon Pro" w:cs="Adobe Caslon Pro"/>
          <w:color w:val="000000"/>
          <w:spacing w:val="-3"/>
          <w:kern w:val="0"/>
          <w:sz w:val="18"/>
          <w:szCs w:val="18"/>
          <w:vertAlign w:val="superscript"/>
        </w:rPr>
        <w:tab/>
      </w:r>
      <w:r w:rsidRPr="0004686D">
        <w:rPr>
          <w:rFonts w:ascii="Adobe Caslon Pro" w:hAnsi="Adobe Caslon Pro" w:cs="Adobe Caslon Pro"/>
          <w:color w:val="000000"/>
          <w:spacing w:val="-3"/>
          <w:kern w:val="0"/>
          <w:sz w:val="18"/>
          <w:szCs w:val="18"/>
        </w:rPr>
        <w:t xml:space="preserve">Stephan Kinsella, “Inalienability and Punishment: A Reply to George Smith,” </w:t>
      </w:r>
      <w:r w:rsidRPr="0004686D">
        <w:rPr>
          <w:rFonts w:ascii="Adobe Caslon Pro" w:hAnsi="Adobe Caslon Pro" w:cs="Adobe Caslon Pro"/>
          <w:i/>
          <w:iCs/>
          <w:color w:val="000000"/>
          <w:spacing w:val="-3"/>
          <w:kern w:val="0"/>
          <w:sz w:val="18"/>
          <w:szCs w:val="18"/>
        </w:rPr>
        <w:t>J. Libertarian Stud.</w:t>
      </w:r>
      <w:r w:rsidRPr="0004686D">
        <w:rPr>
          <w:rFonts w:ascii="Adobe Caslon Pro" w:hAnsi="Adobe Caslon Pro" w:cs="Adobe Caslon Pro"/>
          <w:color w:val="000000"/>
          <w:kern w:val="0"/>
          <w:sz w:val="18"/>
          <w:szCs w:val="18"/>
        </w:rPr>
        <w:t xml:space="preserve"> 14, no. 1 (Winter 1998–99): 79–93. Smith’s article was also criticized in the </w:t>
      </w:r>
      <w:r w:rsidRPr="0004686D">
        <w:rPr>
          <w:rFonts w:ascii="Adobe Caslon Pro" w:hAnsi="Adobe Caslon Pro" w:cs="Adobe Caslon Pro"/>
          <w:color w:val="000000"/>
          <w:spacing w:val="-3"/>
          <w:kern w:val="0"/>
          <w:sz w:val="18"/>
          <w:szCs w:val="18"/>
        </w:rPr>
        <w:t xml:space="preserve">May 1997 issue of </w:t>
      </w:r>
      <w:r w:rsidRPr="0004686D">
        <w:rPr>
          <w:rFonts w:ascii="Adobe Caslon Pro" w:hAnsi="Adobe Caslon Pro" w:cs="Adobe Caslon Pro"/>
          <w:i/>
          <w:iCs/>
          <w:color w:val="000000"/>
          <w:spacing w:val="-3"/>
          <w:kern w:val="0"/>
          <w:sz w:val="18"/>
          <w:szCs w:val="18"/>
        </w:rPr>
        <w:t>Liberty</w:t>
      </w:r>
      <w:r w:rsidRPr="0004686D">
        <w:rPr>
          <w:rFonts w:ascii="Adobe Caslon Pro" w:hAnsi="Adobe Caslon Pro" w:cs="Adobe Caslon Pro"/>
          <w:color w:val="000000"/>
          <w:spacing w:val="-3"/>
          <w:kern w:val="0"/>
          <w:sz w:val="18"/>
          <w:szCs w:val="18"/>
        </w:rPr>
        <w:t>. See John C. Goodman, “Do Inalienable Rights Outlaw Punishment?</w:t>
      </w:r>
      <w:r w:rsidRPr="0004686D">
        <w:rPr>
          <w:rFonts w:ascii="Adobe Caslon Pro" w:hAnsi="Adobe Caslon Pro" w:cs="Adobe Caslon Pro"/>
          <w:color w:val="000000"/>
          <w:kern w:val="0"/>
          <w:sz w:val="18"/>
          <w:szCs w:val="18"/>
        </w:rPr>
        <w:t xml:space="preserve">”,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5 (May 1997; https://perma.cc/4TMF-2S5R): 47–49; Timothy Virkkala, “The Hollow Ring of Inalienability,”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5 (May 1997; https://perma.cc/4TMF-2S5R): 49–50. Smith’s response was “Inalienable </w:t>
      </w:r>
      <w:proofErr w:type="gramStart"/>
      <w:r w:rsidRPr="0004686D">
        <w:rPr>
          <w:rFonts w:ascii="Adobe Caslon Pro" w:hAnsi="Adobe Caslon Pro" w:cs="Adobe Caslon Pro"/>
          <w:color w:val="000000"/>
          <w:kern w:val="0"/>
          <w:sz w:val="18"/>
          <w:szCs w:val="18"/>
        </w:rPr>
        <w:t>Rights?,</w:t>
      </w:r>
      <w:proofErr w:type="gramEnd"/>
      <w:r w:rsidRPr="0004686D">
        <w:rPr>
          <w:rFonts w:ascii="Adobe Caslon Pro" w:hAnsi="Adobe Caslon Pro" w:cs="Adobe Caslon Pro"/>
          <w:color w:val="000000"/>
          <w:kern w:val="0"/>
          <w:sz w:val="18"/>
          <w:szCs w:val="18"/>
        </w:rPr>
        <w:t xml:space="preserve">”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6 (July 1997; https://perma.cc/48NM-UAPK): 51–56; </w:t>
      </w:r>
      <w:proofErr w:type="spellStart"/>
      <w:r w:rsidRPr="0004686D">
        <w:rPr>
          <w:rFonts w:ascii="Adobe Caslon Pro" w:hAnsi="Adobe Caslon Pro" w:cs="Adobe Caslon Pro"/>
          <w:color w:val="000000"/>
          <w:kern w:val="0"/>
          <w:sz w:val="18"/>
          <w:szCs w:val="18"/>
        </w:rPr>
        <w:t>Virkkala’s</w:t>
      </w:r>
      <w:proofErr w:type="spellEnd"/>
      <w:r w:rsidRPr="0004686D">
        <w:rPr>
          <w:rFonts w:ascii="Adobe Caslon Pro" w:hAnsi="Adobe Caslon Pro" w:cs="Adobe Caslon Pro"/>
          <w:color w:val="000000"/>
          <w:kern w:val="0"/>
          <w:sz w:val="18"/>
          <w:szCs w:val="18"/>
        </w:rPr>
        <w:t xml:space="preserve"> response was “The Stilted Logic of Natural Rights,”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6 (July 1997; https://perma.cc/48NM-UAPK): 56.</w:t>
      </w:r>
    </w:p>
    <w:p w14:paraId="269E8AFB" w14:textId="3C241C9B" w:rsidR="0004686D" w:rsidRDefault="0004686D" w:rsidP="0004686D">
      <w:pPr>
        <w:pStyle w:val="ChapterIntros"/>
        <w:jc w:val="left"/>
        <w:rPr>
          <w:sz w:val="18"/>
          <w:szCs w:val="18"/>
        </w:rPr>
      </w:pPr>
      <w:r w:rsidRPr="0004686D">
        <w:rPr>
          <w:spacing w:val="-2"/>
          <w:sz w:val="18"/>
          <w:szCs w:val="18"/>
          <w:vertAlign w:val="superscript"/>
        </w:rPr>
        <w:t>†</w:t>
      </w:r>
      <w:proofErr w:type="gramStart"/>
      <w:r w:rsidRPr="0004686D">
        <w:rPr>
          <w:spacing w:val="-2"/>
          <w:sz w:val="18"/>
          <w:szCs w:val="18"/>
          <w:vertAlign w:val="superscript"/>
        </w:rPr>
        <w:t>†</w:t>
      </w:r>
      <w:r>
        <w:rPr>
          <w:spacing w:val="-2"/>
          <w:sz w:val="18"/>
          <w:szCs w:val="18"/>
          <w:vertAlign w:val="superscript"/>
        </w:rPr>
        <w:t xml:space="preserve">  </w:t>
      </w:r>
      <w:r w:rsidRPr="0004686D">
        <w:rPr>
          <w:sz w:val="18"/>
          <w:szCs w:val="18"/>
        </w:rPr>
        <w:t>George</w:t>
      </w:r>
      <w:proofErr w:type="gramEnd"/>
      <w:r w:rsidRPr="0004686D">
        <w:rPr>
          <w:sz w:val="18"/>
          <w:szCs w:val="18"/>
        </w:rPr>
        <w:t xml:space="preserve"> H. Smith, “Justice Entrepreneurship in a Free Market,” in </w:t>
      </w:r>
      <w:r w:rsidRPr="0004686D">
        <w:rPr>
          <w:i/>
          <w:iCs/>
          <w:sz w:val="18"/>
          <w:szCs w:val="18"/>
        </w:rPr>
        <w:t>Atheism, Ayn Rand, and Other Heresies</w:t>
      </w:r>
      <w:r w:rsidRPr="0004686D">
        <w:rPr>
          <w:sz w:val="18"/>
          <w:szCs w:val="18"/>
        </w:rPr>
        <w:t xml:space="preserve"> (Buffalo, N.Y.: Prometheus Books, 1991). Smith, who passed away in 2022, was a thoughtful and provocative libertarian theorist. See, for example, </w:t>
      </w:r>
      <w:r w:rsidRPr="0004686D">
        <w:rPr>
          <w:i/>
          <w:iCs/>
          <w:sz w:val="18"/>
          <w:szCs w:val="18"/>
        </w:rPr>
        <w:t>idem</w:t>
      </w:r>
      <w:r w:rsidRPr="0004686D">
        <w:rPr>
          <w:sz w:val="18"/>
          <w:szCs w:val="18"/>
        </w:rPr>
        <w:t xml:space="preserve">, </w:t>
      </w:r>
      <w:r w:rsidRPr="0004686D">
        <w:rPr>
          <w:i/>
          <w:iCs/>
          <w:sz w:val="18"/>
          <w:szCs w:val="18"/>
        </w:rPr>
        <w:t>Atheism: The Case Against God</w:t>
      </w:r>
      <w:r w:rsidR="005D3E42">
        <w:rPr>
          <w:sz w:val="18"/>
          <w:szCs w:val="18"/>
        </w:rPr>
        <w:t xml:space="preserve"> </w:t>
      </w:r>
      <w:r w:rsidRPr="0004686D">
        <w:rPr>
          <w:sz w:val="18"/>
          <w:szCs w:val="18"/>
        </w:rPr>
        <w:t xml:space="preserve">(Buffalo, N.Y.: Prometheus Books, 1979); </w:t>
      </w:r>
      <w:r w:rsidRPr="0004686D">
        <w:rPr>
          <w:i/>
          <w:iCs/>
          <w:sz w:val="18"/>
          <w:szCs w:val="18"/>
        </w:rPr>
        <w:t>idem</w:t>
      </w:r>
      <w:r w:rsidRPr="0004686D">
        <w:rPr>
          <w:sz w:val="18"/>
          <w:szCs w:val="18"/>
        </w:rPr>
        <w:t xml:space="preserve">, </w:t>
      </w:r>
      <w:r w:rsidRPr="0004686D">
        <w:rPr>
          <w:i/>
          <w:iCs/>
          <w:sz w:val="18"/>
          <w:szCs w:val="18"/>
        </w:rPr>
        <w:t>Atheism, Ayn Rand, and Other Heresies</w:t>
      </w:r>
      <w:r w:rsidRPr="0004686D">
        <w:rPr>
          <w:sz w:val="18"/>
          <w:szCs w:val="18"/>
        </w:rPr>
        <w:t>.</w:t>
      </w:r>
    </w:p>
    <w:p w14:paraId="231CA3AE" w14:textId="77777777" w:rsidR="0004686D" w:rsidRDefault="0004686D" w:rsidP="0004686D">
      <w:pPr>
        <w:pStyle w:val="ChapterIntros"/>
        <w:jc w:val="left"/>
        <w:rPr>
          <w:sz w:val="18"/>
          <w:szCs w:val="18"/>
        </w:rPr>
      </w:pPr>
    </w:p>
    <w:p w14:paraId="0F25FB93" w14:textId="77777777" w:rsidR="0004686D" w:rsidRDefault="0004686D" w:rsidP="0004686D">
      <w:pPr>
        <w:pStyle w:val="ChapterIntros"/>
        <w:jc w:val="left"/>
        <w:rPr>
          <w:spacing w:val="1"/>
        </w:rPr>
      </w:pPr>
    </w:p>
    <w:p w14:paraId="24A45577"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It can reasonably be argued that capital punishment is immoral or problematic because of the danger of executing an innocent person by mistake.</w:t>
      </w:r>
      <w:r w:rsidRPr="0004686D">
        <w:rPr>
          <w:rFonts w:ascii="Adobe Caslon Pro" w:hAnsi="Adobe Caslon Pro" w:cs="Adobe Caslon Pro"/>
          <w:color w:val="000000"/>
          <w:spacing w:val="2"/>
          <w:kern w:val="0"/>
          <w:position w:val="2"/>
          <w:sz w:val="20"/>
          <w:szCs w:val="20"/>
          <w:vertAlign w:val="superscript"/>
        </w:rPr>
        <w:footnoteReference w:id="1"/>
      </w:r>
      <w:r w:rsidRPr="0004686D">
        <w:rPr>
          <w:rFonts w:ascii="Adobe Caslon Pro" w:hAnsi="Adobe Caslon Pro" w:cs="Adobe Caslon Pro"/>
          <w:color w:val="000000"/>
          <w:spacing w:val="2"/>
          <w:kern w:val="0"/>
          <w:sz w:val="23"/>
          <w:szCs w:val="23"/>
        </w:rPr>
        <w:t xml:space="preserve"> George Smith, in a recent </w:t>
      </w:r>
      <w:r w:rsidRPr="0004686D">
        <w:rPr>
          <w:rFonts w:ascii="Adobe Caslon Pro" w:hAnsi="Adobe Caslon Pro" w:cs="Adobe Caslon Pro"/>
          <w:i/>
          <w:iCs/>
          <w:color w:val="000000"/>
          <w:spacing w:val="2"/>
          <w:kern w:val="0"/>
          <w:sz w:val="23"/>
          <w:szCs w:val="23"/>
        </w:rPr>
        <w:t>Liberty</w:t>
      </w:r>
      <w:r w:rsidRPr="0004686D">
        <w:rPr>
          <w:rFonts w:ascii="Adobe Caslon Pro" w:hAnsi="Adobe Caslon Pro" w:cs="Adobe Caslon Pro"/>
          <w:color w:val="000000"/>
          <w:spacing w:val="2"/>
          <w:kern w:val="0"/>
          <w:sz w:val="23"/>
          <w:szCs w:val="23"/>
        </w:rPr>
        <w:t xml:space="preserve"> magazine article in which he argues against capital punishment, does not take this approach. Instead, Smith states that capital punishment is never permissible, even where “</w:t>
      </w:r>
      <w:r w:rsidRPr="0004686D">
        <w:rPr>
          <w:rFonts w:ascii="Adobe Caslon Pro" w:hAnsi="Adobe Caslon Pro" w:cs="Adobe Caslon Pro"/>
          <w:i/>
          <w:iCs/>
          <w:color w:val="000000"/>
          <w:spacing w:val="2"/>
          <w:kern w:val="0"/>
          <w:sz w:val="23"/>
          <w:szCs w:val="23"/>
        </w:rPr>
        <w:t>reasonable doubt is impossible</w:t>
      </w:r>
      <w:r w:rsidRPr="0004686D">
        <w:rPr>
          <w:rFonts w:ascii="Adobe Caslon Pro" w:hAnsi="Adobe Caslon Pro" w:cs="Adobe Caslon Pro"/>
          <w:color w:val="000000"/>
          <w:spacing w:val="2"/>
          <w:kern w:val="0"/>
          <w:sz w:val="23"/>
          <w:szCs w:val="23"/>
        </w:rPr>
        <w:t xml:space="preserve"> and where the crimes have been especially heinous.”</w:t>
      </w:r>
      <w:r w:rsidRPr="0004686D">
        <w:rPr>
          <w:rFonts w:ascii="Adobe Caslon Pro" w:hAnsi="Adobe Caslon Pro" w:cs="Adobe Caslon Pro"/>
          <w:color w:val="000000"/>
          <w:spacing w:val="2"/>
          <w:kern w:val="0"/>
          <w:position w:val="2"/>
          <w:sz w:val="20"/>
          <w:szCs w:val="20"/>
          <w:vertAlign w:val="superscript"/>
        </w:rPr>
        <w:footnoteReference w:id="2"/>
      </w:r>
      <w:r w:rsidRPr="0004686D">
        <w:rPr>
          <w:rFonts w:ascii="Adobe Caslon Pro" w:hAnsi="Adobe Caslon Pro" w:cs="Adobe Caslon Pro"/>
          <w:color w:val="000000"/>
          <w:spacing w:val="2"/>
          <w:kern w:val="0"/>
          <w:sz w:val="23"/>
          <w:szCs w:val="23"/>
        </w:rPr>
        <w:t xml:space="preserve"> In other words, even if we know beyond all doubt that someone has committed murder, it is impermissible to execute him (</w:t>
      </w:r>
      <w:proofErr w:type="gramStart"/>
      <w:r w:rsidRPr="0004686D">
        <w:rPr>
          <w:rFonts w:ascii="Adobe Caslon Pro" w:hAnsi="Adobe Caslon Pro" w:cs="Adobe Caslon Pro"/>
          <w:color w:val="000000"/>
          <w:spacing w:val="2"/>
          <w:kern w:val="0"/>
          <w:sz w:val="23"/>
          <w:szCs w:val="23"/>
        </w:rPr>
        <w:t>and also</w:t>
      </w:r>
      <w:proofErr w:type="gramEnd"/>
      <w:r w:rsidRPr="0004686D">
        <w:rPr>
          <w:rFonts w:ascii="Adobe Caslon Pro" w:hAnsi="Adobe Caslon Pro" w:cs="Adobe Caslon Pro"/>
          <w:color w:val="000000"/>
          <w:spacing w:val="2"/>
          <w:kern w:val="0"/>
          <w:sz w:val="23"/>
          <w:szCs w:val="23"/>
        </w:rPr>
        <w:t>, presumably, to inflict less severe punishment).</w:t>
      </w:r>
    </w:p>
    <w:p w14:paraId="4F6F8295"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Smith bases his argument on the concept of “inalienable rights,” rights that “cannot be transferred, surrendered, or forfeited.”</w:t>
      </w:r>
      <w:r w:rsidRPr="0004686D">
        <w:rPr>
          <w:rFonts w:ascii="Adobe Caslon Pro" w:hAnsi="Adobe Caslon Pro" w:cs="Adobe Caslon Pro"/>
          <w:color w:val="000000"/>
          <w:spacing w:val="1"/>
          <w:kern w:val="0"/>
          <w:position w:val="2"/>
          <w:sz w:val="20"/>
          <w:szCs w:val="20"/>
          <w:vertAlign w:val="superscript"/>
        </w:rPr>
        <w:footnoteReference w:id="3"/>
      </w:r>
      <w:r w:rsidRPr="0004686D">
        <w:rPr>
          <w:rFonts w:ascii="Adobe Caslon Pro" w:hAnsi="Adobe Caslon Pro" w:cs="Adobe Caslon Pro"/>
          <w:color w:val="000000"/>
          <w:spacing w:val="1"/>
          <w:kern w:val="0"/>
          <w:sz w:val="23"/>
          <w:szCs w:val="23"/>
        </w:rPr>
        <w:t xml:space="preserve"> The argument runs roughly as follows. Libertarians must adopt one of two </w:t>
      </w:r>
      <w:r w:rsidRPr="0004686D">
        <w:rPr>
          <w:rFonts w:ascii="Adobe Caslon Pro" w:hAnsi="Adobe Caslon Pro" w:cs="Adobe Caslon Pro"/>
          <w:color w:val="000000"/>
          <w:kern w:val="0"/>
          <w:sz w:val="23"/>
          <w:szCs w:val="23"/>
        </w:rPr>
        <w:t xml:space="preserve">positions: (1) everyone has inalienable rights, in which case even a (known) murderer may not be executed; or (2) certain crimes may be punished with death, in which case the theory of inalienable rights must be abandoned. In Smith’s opinion, position (2) “would be catastrophic, for we cannot construct a libertarian theory of justice except on a foundation of inalienable rights.” </w:t>
      </w:r>
      <w:r w:rsidRPr="0004686D">
        <w:rPr>
          <w:rFonts w:ascii="Adobe Caslon Pro" w:hAnsi="Adobe Caslon Pro" w:cs="Adobe Caslon Pro"/>
          <w:color w:val="000000"/>
          <w:kern w:val="0"/>
          <w:position w:val="2"/>
          <w:sz w:val="20"/>
          <w:szCs w:val="20"/>
          <w:vertAlign w:val="superscript"/>
        </w:rPr>
        <w:footnoteReference w:id="4"/>
      </w:r>
    </w:p>
    <w:p w14:paraId="03F16B7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Smith’s entire argument, then, rests on the notion that libertarianism and justice require inalienable rights. There are either “inalienable” rights, or there are no rights at all. Yet Smith’s arguments for why libertarianism requires that rights be inalienable are unpersuasive.</w:t>
      </w:r>
    </w:p>
    <w:p w14:paraId="5FB580B0"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lastRenderedPageBreak/>
        <w:t>STANDING THREATS</w:t>
      </w:r>
    </w:p>
    <w:p w14:paraId="5116B774"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One of Smith’s approaches is to provide an argument for capital punishment based on the notion of self-defense and then to attack this argument as insufficient. Smith writes:</w:t>
      </w:r>
    </w:p>
    <w:p w14:paraId="6F88BCF9" w14:textId="506A464B"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04686D">
        <w:rPr>
          <w:rFonts w:ascii="Adobe Caslon Pro" w:hAnsi="Adobe Caslon Pro" w:cs="Adobe Caslon Pro"/>
          <w:color w:val="000000"/>
          <w:spacing w:val="-2"/>
          <w:kern w:val="0"/>
          <w:sz w:val="20"/>
          <w:szCs w:val="20"/>
        </w:rPr>
        <w:t xml:space="preserve">Some years </w:t>
      </w:r>
      <w:proofErr w:type="gramStart"/>
      <w:r w:rsidRPr="0004686D">
        <w:rPr>
          <w:rFonts w:ascii="Adobe Caslon Pro" w:hAnsi="Adobe Caslon Pro" w:cs="Adobe Caslon Pro"/>
          <w:color w:val="000000"/>
          <w:spacing w:val="-2"/>
          <w:kern w:val="0"/>
          <w:sz w:val="20"/>
          <w:szCs w:val="20"/>
        </w:rPr>
        <w:t>ago</w:t>
      </w:r>
      <w:proofErr w:type="gramEnd"/>
      <w:r w:rsidRPr="0004686D">
        <w:rPr>
          <w:rFonts w:ascii="Adobe Caslon Pro" w:hAnsi="Adobe Caslon Pro" w:cs="Adobe Caslon Pro"/>
          <w:color w:val="000000"/>
          <w:spacing w:val="-2"/>
          <w:kern w:val="0"/>
          <w:sz w:val="20"/>
          <w:szCs w:val="20"/>
        </w:rPr>
        <w:t xml:space="preserve"> during a summer conference, Randy Barnett and I sat down to see whether we could manufacture a defense of capital punishment. The best we could come up with was the notion of a “standing threat.” This is based on John Locke’s treatment of reparation and restraining, which “are the only reasons, why one Man may lawfully do harm to another, which is that we call punishment.”</w:t>
      </w:r>
      <w:r w:rsidRPr="0004686D">
        <w:rPr>
          <w:rFonts w:ascii="Adobe Caslon Pro" w:hAnsi="Adobe Caslon Pro" w:cs="Adobe Caslon Pro"/>
          <w:color w:val="000000"/>
          <w:spacing w:val="-2"/>
          <w:kern w:val="0"/>
          <w:position w:val="2"/>
          <w:sz w:val="20"/>
          <w:szCs w:val="20"/>
          <w:vertAlign w:val="superscript"/>
        </w:rPr>
        <w:footnoteReference w:id="5"/>
      </w:r>
      <w:r w:rsidRPr="0004686D">
        <w:rPr>
          <w:rFonts w:ascii="Adobe Caslon Pro" w:hAnsi="Adobe Caslon Pro" w:cs="Adobe Caslon Pro"/>
          <w:color w:val="000000"/>
          <w:spacing w:val="-2"/>
          <w:kern w:val="0"/>
          <w:sz w:val="20"/>
          <w:szCs w:val="20"/>
        </w:rPr>
        <w:t xml:space="preserve"> </w:t>
      </w:r>
    </w:p>
    <w:p w14:paraId="6BC68282" w14:textId="181778E0"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Thus, according to Locke, we may kill an aggressor in self-defense, since he has placed the victim and aggressor in a “state of war.” Similarly, a case could be made that a convicted aggressor may be executed, on the grounds that he is a “standing threat” to others.</w:t>
      </w:r>
    </w:p>
    <w:p w14:paraId="39899E3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Rejecting this argument, Smith notes: </w:t>
      </w:r>
    </w:p>
    <w:p w14:paraId="6F86F6CC"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To kill someone as a “standing threat” in the name of self-defense may amount to little more than a surreptitious effort to smuggle capital punishment in through the back door of libertarian theory, having denied it entrance through the front.</w:t>
      </w:r>
      <w:r w:rsidRPr="0004686D">
        <w:rPr>
          <w:rFonts w:ascii="Adobe Caslon Pro" w:hAnsi="Adobe Caslon Pro" w:cs="Adobe Caslon Pro"/>
          <w:color w:val="000000"/>
          <w:kern w:val="0"/>
          <w:position w:val="2"/>
          <w:sz w:val="20"/>
          <w:szCs w:val="20"/>
          <w:vertAlign w:val="superscript"/>
        </w:rPr>
        <w:footnoteReference w:id="6"/>
      </w:r>
      <w:r w:rsidRPr="0004686D">
        <w:rPr>
          <w:rFonts w:ascii="Adobe Caslon Pro" w:hAnsi="Adobe Caslon Pro" w:cs="Adobe Caslon Pro"/>
          <w:color w:val="000000"/>
          <w:kern w:val="0"/>
          <w:sz w:val="20"/>
          <w:szCs w:val="20"/>
        </w:rPr>
        <w:t xml:space="preserve"> </w:t>
      </w:r>
    </w:p>
    <w:p w14:paraId="27B6DC02"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Smith is correct here: it is not for reasons of self-defense that a victim </w:t>
      </w:r>
      <w:r w:rsidRPr="0004686D">
        <w:rPr>
          <w:rFonts w:ascii="Adobe Caslon Pro" w:hAnsi="Adobe Caslon Pro" w:cs="Adobe Caslon Pro"/>
          <w:color w:val="000000"/>
          <w:spacing w:val="-1"/>
          <w:kern w:val="0"/>
          <w:sz w:val="23"/>
          <w:szCs w:val="23"/>
        </w:rPr>
        <w:t>has a right to punish an aggressor.</w:t>
      </w:r>
      <w:r w:rsidRPr="0004686D">
        <w:rPr>
          <w:rFonts w:ascii="Adobe Caslon Pro" w:hAnsi="Adobe Caslon Pro" w:cs="Adobe Caslon Pro"/>
          <w:color w:val="000000"/>
          <w:spacing w:val="-1"/>
          <w:kern w:val="0"/>
          <w:position w:val="2"/>
          <w:sz w:val="20"/>
          <w:szCs w:val="20"/>
          <w:vertAlign w:val="superscript"/>
        </w:rPr>
        <w:footnoteReference w:id="7"/>
      </w:r>
      <w:r w:rsidRPr="0004686D">
        <w:rPr>
          <w:rFonts w:ascii="Adobe Caslon Pro" w:hAnsi="Adobe Caslon Pro" w:cs="Adobe Caslon Pro"/>
          <w:color w:val="000000"/>
          <w:spacing w:val="-1"/>
          <w:kern w:val="0"/>
          <w:sz w:val="23"/>
          <w:szCs w:val="23"/>
        </w:rPr>
        <w:t xml:space="preserve"> However, this does not mean punishment (retribution or retaliation) is impermissible, only that self-defense </w:t>
      </w:r>
      <w:r w:rsidRPr="0004686D">
        <w:rPr>
          <w:rFonts w:ascii="Adobe Caslon Pro" w:hAnsi="Adobe Caslon Pro" w:cs="Adobe Caslon Pro"/>
          <w:color w:val="000000"/>
          <w:spacing w:val="1"/>
          <w:kern w:val="0"/>
          <w:sz w:val="23"/>
          <w:szCs w:val="23"/>
        </w:rPr>
        <w:t>is not sufficient to justify punishment.</w:t>
      </w:r>
    </w:p>
    <w:p w14:paraId="2D2301C8"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BARNETT ON PUNISHMENT</w:t>
      </w:r>
    </w:p>
    <w:p w14:paraId="33083351"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Let me briefly note the following. Smith states: </w:t>
      </w:r>
    </w:p>
    <w:p w14:paraId="5CA58636"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3"/>
          <w:kern w:val="0"/>
          <w:sz w:val="20"/>
          <w:szCs w:val="20"/>
        </w:rPr>
      </w:pPr>
      <w:r w:rsidRPr="0004686D">
        <w:rPr>
          <w:rFonts w:ascii="Adobe Caslon Pro" w:hAnsi="Adobe Caslon Pro" w:cs="Adobe Caslon Pro"/>
          <w:color w:val="000000"/>
          <w:spacing w:val="3"/>
          <w:kern w:val="0"/>
          <w:sz w:val="20"/>
          <w:szCs w:val="20"/>
        </w:rPr>
        <w:t>For years [Barnett] has brilliantly elaborated on the pure theory of restitution as the only acceptable model of libertarian punishment, and he recognizes that the death penalty cannot be incorporated within this model.”</w:t>
      </w:r>
      <w:r w:rsidRPr="0004686D">
        <w:rPr>
          <w:rFonts w:ascii="Adobe Caslon Pro" w:hAnsi="Adobe Caslon Pro" w:cs="Adobe Caslon Pro"/>
          <w:color w:val="000000"/>
          <w:spacing w:val="3"/>
          <w:kern w:val="0"/>
          <w:position w:val="2"/>
          <w:sz w:val="20"/>
          <w:szCs w:val="20"/>
          <w:vertAlign w:val="superscript"/>
        </w:rPr>
        <w:footnoteReference w:id="8"/>
      </w:r>
    </w:p>
    <w:p w14:paraId="551AB303" w14:textId="5784E3BE"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Admittedly, Barnett does appear to believe that even guilty aggressors have a right against punishment. But he does not claim to have justified such a right in his writings on restitution. In his published works on this issue, Barnett opposes a punishment-based system because he believes it may deter crime less than would a restitution-based system, </w:t>
      </w:r>
      <w:proofErr w:type="gramStart"/>
      <w:r w:rsidRPr="0004686D">
        <w:rPr>
          <w:rFonts w:ascii="Adobe Caslon Pro" w:hAnsi="Adobe Caslon Pro" w:cs="Adobe Caslon Pro"/>
          <w:color w:val="000000"/>
          <w:spacing w:val="1"/>
          <w:kern w:val="0"/>
          <w:sz w:val="23"/>
          <w:szCs w:val="23"/>
        </w:rPr>
        <w:t>and also</w:t>
      </w:r>
      <w:proofErr w:type="gramEnd"/>
      <w:r w:rsidRPr="0004686D">
        <w:rPr>
          <w:rFonts w:ascii="Adobe Caslon Pro" w:hAnsi="Adobe Caslon Pro" w:cs="Adobe Caslon Pro"/>
          <w:color w:val="000000"/>
          <w:spacing w:val="1"/>
          <w:kern w:val="0"/>
          <w:sz w:val="23"/>
          <w:szCs w:val="23"/>
        </w:rPr>
        <w:t xml:space="preserve"> because the unavoidable possibility of error can lead to “infliction of harm on the </w:t>
      </w:r>
      <w:r w:rsidRPr="0004686D">
        <w:rPr>
          <w:rFonts w:ascii="Adobe Caslon Pro" w:hAnsi="Adobe Caslon Pro" w:cs="Adobe Caslon Pro"/>
          <w:i/>
          <w:iCs/>
          <w:color w:val="000000"/>
          <w:spacing w:val="1"/>
          <w:kern w:val="0"/>
          <w:sz w:val="23"/>
          <w:szCs w:val="23"/>
        </w:rPr>
        <w:t>innocent</w:t>
      </w:r>
      <w:r w:rsidRPr="0004686D">
        <w:rPr>
          <w:rFonts w:ascii="Adobe Caslon Pro" w:hAnsi="Adobe Caslon Pro" w:cs="Adobe Caslon Pro"/>
          <w:color w:val="000000"/>
          <w:spacing w:val="1"/>
          <w:kern w:val="0"/>
          <w:sz w:val="23"/>
          <w:szCs w:val="23"/>
        </w:rPr>
        <w:t>.”</w:t>
      </w:r>
      <w:r w:rsidRPr="0004686D">
        <w:rPr>
          <w:rFonts w:ascii="Adobe Caslon Pro" w:hAnsi="Adobe Caslon Pro" w:cs="Adobe Caslon Pro"/>
          <w:color w:val="000000"/>
          <w:spacing w:val="1"/>
          <w:kern w:val="0"/>
          <w:position w:val="2"/>
          <w:sz w:val="20"/>
          <w:szCs w:val="20"/>
          <w:vertAlign w:val="superscript"/>
        </w:rPr>
        <w:footnoteReference w:id="9"/>
      </w:r>
      <w:r w:rsidRPr="0004686D">
        <w:rPr>
          <w:rFonts w:ascii="Adobe Caslon Pro" w:hAnsi="Adobe Caslon Pro" w:cs="Adobe Caslon Pro"/>
          <w:color w:val="000000"/>
          <w:spacing w:val="1"/>
          <w:kern w:val="0"/>
          <w:sz w:val="23"/>
          <w:szCs w:val="23"/>
        </w:rPr>
        <w:t xml:space="preserve"> He does not, however, provide a strong argument that punishing an actual aggressor violates his rights. </w:t>
      </w:r>
      <w:r w:rsidRPr="0004686D">
        <w:rPr>
          <w:rFonts w:ascii="Adobe Caslon Pro" w:hAnsi="Adobe Caslon Pro" w:cs="Adobe Caslon Pro"/>
          <w:color w:val="000000"/>
          <w:kern w:val="0"/>
          <w:sz w:val="23"/>
          <w:szCs w:val="23"/>
        </w:rPr>
        <w:t xml:space="preserve">Indeed, in his book </w:t>
      </w:r>
      <w:r w:rsidRPr="0004686D">
        <w:rPr>
          <w:rFonts w:ascii="Adobe Caslon Pro" w:hAnsi="Adobe Caslon Pro" w:cs="Adobe Caslon Pro"/>
          <w:i/>
          <w:iCs/>
          <w:color w:val="000000"/>
          <w:kern w:val="0"/>
          <w:sz w:val="23"/>
          <w:szCs w:val="23"/>
        </w:rPr>
        <w:t>The Structure of Liberty</w:t>
      </w:r>
      <w:r w:rsidRPr="0004686D">
        <w:rPr>
          <w:rFonts w:ascii="Adobe Caslon Pro" w:hAnsi="Adobe Caslon Pro" w:cs="Adobe Caslon Pro"/>
          <w:color w:val="000000"/>
          <w:kern w:val="0"/>
          <w:sz w:val="23"/>
          <w:szCs w:val="23"/>
        </w:rPr>
        <w:t>, Barnett states: “this analysi</w:t>
      </w:r>
      <w:r w:rsidRPr="0004686D">
        <w:rPr>
          <w:rFonts w:ascii="Adobe Caslon Pro" w:hAnsi="Adobe Caslon Pro" w:cs="Adobe Caslon Pro"/>
          <w:color w:val="000000"/>
          <w:spacing w:val="1"/>
          <w:kern w:val="0"/>
          <w:sz w:val="23"/>
          <w:szCs w:val="23"/>
        </w:rPr>
        <w:t xml:space="preserve">s </w:t>
      </w:r>
      <w:r w:rsidRPr="0004686D">
        <w:rPr>
          <w:rFonts w:ascii="Adobe Caslon Pro" w:hAnsi="Adobe Caslon Pro" w:cs="Adobe Caslon Pro"/>
          <w:i/>
          <w:iCs/>
          <w:color w:val="000000"/>
          <w:spacing w:val="1"/>
          <w:kern w:val="0"/>
          <w:sz w:val="23"/>
          <w:szCs w:val="23"/>
        </w:rPr>
        <w:t>cannot conclusively prove</w:t>
      </w:r>
      <w:r w:rsidRPr="0004686D">
        <w:rPr>
          <w:rFonts w:ascii="Adobe Caslon Pro" w:hAnsi="Adobe Caslon Pro" w:cs="Adobe Caslon Pro"/>
          <w:color w:val="000000"/>
          <w:spacing w:val="1"/>
          <w:kern w:val="0"/>
          <w:sz w:val="23"/>
          <w:szCs w:val="23"/>
        </w:rPr>
        <w:t xml:space="preserve"> that no combination of compensation or punishment can ever address effectively the compliance problem.”</w:t>
      </w:r>
      <w:r w:rsidRPr="0004686D">
        <w:rPr>
          <w:rFonts w:ascii="Adobe Caslon Pro" w:hAnsi="Adobe Caslon Pro" w:cs="Adobe Caslon Pro"/>
          <w:color w:val="000000"/>
          <w:spacing w:val="1"/>
          <w:kern w:val="0"/>
          <w:position w:val="2"/>
          <w:sz w:val="20"/>
          <w:szCs w:val="20"/>
          <w:vertAlign w:val="superscript"/>
        </w:rPr>
        <w:footnoteReference w:id="10"/>
      </w:r>
      <w:r w:rsidRPr="0004686D">
        <w:rPr>
          <w:rFonts w:ascii="Adobe Caslon Pro" w:hAnsi="Adobe Caslon Pro" w:cs="Adobe Caslon Pro"/>
          <w:color w:val="000000"/>
          <w:spacing w:val="1"/>
          <w:kern w:val="0"/>
          <w:sz w:val="23"/>
          <w:szCs w:val="23"/>
        </w:rPr>
        <w:t xml:space="preserve"> And further: “I do not claim to have completely demonstrated this proposition [that justice requires restitution, not punishment] either in my earlier writings, or in this book.”</w:t>
      </w:r>
      <w:r w:rsidRPr="0004686D">
        <w:rPr>
          <w:rFonts w:ascii="Adobe Caslon Pro" w:hAnsi="Adobe Caslon Pro" w:cs="Adobe Caslon Pro"/>
          <w:color w:val="000000"/>
          <w:spacing w:val="1"/>
          <w:kern w:val="0"/>
          <w:position w:val="2"/>
          <w:sz w:val="20"/>
          <w:szCs w:val="20"/>
          <w:vertAlign w:val="superscript"/>
        </w:rPr>
        <w:footnoteReference w:id="11"/>
      </w:r>
    </w:p>
    <w:p w14:paraId="7C525B6B"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lastRenderedPageBreak/>
        <w:t>Thus, although Barnett opposes punishment for a variety of reasons,</w:t>
      </w:r>
      <w:r w:rsidRPr="0004686D">
        <w:rPr>
          <w:rFonts w:ascii="Adobe Caslon Pro" w:hAnsi="Adobe Caslon Pro" w:cs="Adobe Caslon Pro"/>
          <w:color w:val="000000"/>
          <w:spacing w:val="-2"/>
          <w:kern w:val="0"/>
          <w:position w:val="2"/>
          <w:sz w:val="20"/>
          <w:szCs w:val="20"/>
          <w:vertAlign w:val="superscript"/>
        </w:rPr>
        <w:footnoteReference w:id="12"/>
      </w:r>
      <w:r w:rsidRPr="0004686D">
        <w:rPr>
          <w:rFonts w:ascii="Adobe Caslon Pro" w:hAnsi="Adobe Caslon Pro" w:cs="Adobe Caslon Pro"/>
          <w:color w:val="000000"/>
          <w:spacing w:val="-2"/>
          <w:kern w:val="0"/>
          <w:sz w:val="23"/>
          <w:szCs w:val="23"/>
        </w:rPr>
        <w:t xml:space="preserve"> those that are given to buttress his case in favor of restitution do not rest on viewing rights as inalienable and, in my view, Barnett has never demonstrated that rights are inalienable in the sense used by Smith.</w:t>
      </w:r>
      <w:r w:rsidRPr="0004686D">
        <w:rPr>
          <w:rFonts w:ascii="Adobe Caslon Pro" w:hAnsi="Adobe Caslon Pro" w:cs="Adobe Caslon Pro"/>
          <w:color w:val="000000"/>
          <w:spacing w:val="-2"/>
          <w:kern w:val="0"/>
          <w:position w:val="2"/>
          <w:sz w:val="20"/>
          <w:szCs w:val="20"/>
          <w:vertAlign w:val="superscript"/>
        </w:rPr>
        <w:footnoteReference w:id="13"/>
      </w:r>
      <w:r w:rsidRPr="0004686D">
        <w:rPr>
          <w:rFonts w:ascii="Adobe Caslon Pro" w:hAnsi="Adobe Caslon Pro" w:cs="Adobe Caslon Pro"/>
          <w:color w:val="000000"/>
          <w:spacing w:val="-2"/>
          <w:kern w:val="0"/>
          <w:sz w:val="23"/>
          <w:szCs w:val="23"/>
        </w:rPr>
        <w:t xml:space="preserve"> </w:t>
      </w:r>
    </w:p>
    <w:p w14:paraId="7E8A1632"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DEFENSE, RESTITUTION, AND INALIENABILITY</w:t>
      </w:r>
    </w:p>
    <w:p w14:paraId="128285CF"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Another problem with Smith’s assertion that rights are inalienable is just that: it is merely an assertion. Simply labeling rights </w:t>
      </w:r>
      <w:proofErr w:type="gramStart"/>
      <w:r w:rsidRPr="0004686D">
        <w:rPr>
          <w:rFonts w:ascii="Adobe Caslon Pro" w:hAnsi="Adobe Caslon Pro" w:cs="Adobe Caslon Pro"/>
          <w:color w:val="000000"/>
          <w:spacing w:val="-1"/>
          <w:kern w:val="0"/>
          <w:sz w:val="23"/>
          <w:szCs w:val="23"/>
        </w:rPr>
        <w:t>over and over again</w:t>
      </w:r>
      <w:proofErr w:type="gramEnd"/>
      <w:r w:rsidRPr="0004686D">
        <w:rPr>
          <w:rFonts w:ascii="Adobe Caslon Pro" w:hAnsi="Adobe Caslon Pro" w:cs="Adobe Caslon Pro"/>
          <w:color w:val="000000"/>
          <w:spacing w:val="-1"/>
          <w:kern w:val="0"/>
          <w:sz w:val="23"/>
          <w:szCs w:val="23"/>
        </w:rPr>
        <w:t xml:space="preserve"> with the modifier “inalienable” does not make it so.</w:t>
      </w:r>
      <w:r w:rsidRPr="0004686D">
        <w:rPr>
          <w:rFonts w:ascii="Adobe Caslon Pro" w:hAnsi="Adobe Caslon Pro" w:cs="Adobe Caslon Pro"/>
          <w:color w:val="000000"/>
          <w:spacing w:val="-1"/>
          <w:kern w:val="0"/>
          <w:position w:val="2"/>
          <w:sz w:val="20"/>
          <w:szCs w:val="20"/>
          <w:vertAlign w:val="superscript"/>
        </w:rPr>
        <w:footnoteReference w:id="14"/>
      </w:r>
      <w:r w:rsidRPr="0004686D">
        <w:rPr>
          <w:rFonts w:ascii="Adobe Caslon Pro" w:hAnsi="Adobe Caslon Pro" w:cs="Adobe Caslon Pro"/>
          <w:color w:val="000000"/>
          <w:spacing w:val="-1"/>
          <w:kern w:val="0"/>
          <w:sz w:val="23"/>
          <w:szCs w:val="23"/>
        </w:rPr>
        <w:t xml:space="preserve"> Libertarians do not typically view rights as “inalienable” in Smith’s </w:t>
      </w:r>
      <w:proofErr w:type="gramStart"/>
      <w:r w:rsidRPr="0004686D">
        <w:rPr>
          <w:rFonts w:ascii="Adobe Caslon Pro" w:hAnsi="Adobe Caslon Pro" w:cs="Adobe Caslon Pro"/>
          <w:color w:val="000000"/>
          <w:spacing w:val="-1"/>
          <w:kern w:val="0"/>
          <w:sz w:val="23"/>
          <w:szCs w:val="23"/>
        </w:rPr>
        <w:t>sense, or</w:t>
      </w:r>
      <w:proofErr w:type="gramEnd"/>
      <w:r w:rsidRPr="0004686D">
        <w:rPr>
          <w:rFonts w:ascii="Adobe Caslon Pro" w:hAnsi="Adobe Caslon Pro" w:cs="Adobe Caslon Pro"/>
          <w:color w:val="000000"/>
          <w:spacing w:val="-1"/>
          <w:kern w:val="0"/>
          <w:sz w:val="23"/>
          <w:szCs w:val="23"/>
        </w:rPr>
        <w:t xml:space="preserve"> put much weight on this concept. In fact, viewing rights as alienable is perfectly consistent with—indeed, implied by—the libertarian non-aggression principle.</w:t>
      </w:r>
      <w:r w:rsidRPr="0004686D">
        <w:rPr>
          <w:rFonts w:ascii="Adobe Caslon Pro" w:hAnsi="Adobe Caslon Pro" w:cs="Adobe Caslon Pro"/>
          <w:color w:val="000000"/>
          <w:spacing w:val="-1"/>
          <w:kern w:val="0"/>
          <w:position w:val="2"/>
          <w:sz w:val="20"/>
          <w:szCs w:val="20"/>
          <w:vertAlign w:val="superscript"/>
        </w:rPr>
        <w:footnoteReference w:id="15"/>
      </w:r>
      <w:r w:rsidRPr="0004686D">
        <w:rPr>
          <w:rFonts w:ascii="Adobe Caslon Pro" w:hAnsi="Adobe Caslon Pro" w:cs="Adobe Caslon Pro"/>
          <w:color w:val="000000"/>
          <w:spacing w:val="-1"/>
          <w:kern w:val="0"/>
          <w:sz w:val="23"/>
          <w:szCs w:val="23"/>
        </w:rPr>
        <w:t xml:space="preserve"> Under this principle, only the </w:t>
      </w:r>
      <w:r w:rsidRPr="0004686D">
        <w:rPr>
          <w:rFonts w:ascii="Adobe Caslon Pro" w:hAnsi="Adobe Caslon Pro" w:cs="Adobe Caslon Pro"/>
          <w:i/>
          <w:iCs/>
          <w:color w:val="000000"/>
          <w:spacing w:val="-1"/>
          <w:kern w:val="0"/>
          <w:sz w:val="23"/>
          <w:szCs w:val="23"/>
        </w:rPr>
        <w:t>initiation</w:t>
      </w:r>
      <w:r w:rsidRPr="0004686D">
        <w:rPr>
          <w:rFonts w:ascii="Adobe Caslon Pro" w:hAnsi="Adobe Caslon Pro" w:cs="Adobe Caslon Pro"/>
          <w:color w:val="000000"/>
          <w:spacing w:val="-1"/>
          <w:kern w:val="0"/>
          <w:sz w:val="23"/>
          <w:szCs w:val="23"/>
        </w:rPr>
        <w:t xml:space="preserve"> of force is prohibited; defensive, restitutive, or retaliatory force—more generally, “responsive” force—is not. One </w:t>
      </w:r>
      <w:r w:rsidRPr="0004686D">
        <w:rPr>
          <w:rFonts w:ascii="Adobe Caslon Pro" w:hAnsi="Adobe Caslon Pro" w:cs="Adobe Caslon Pro"/>
          <w:i/>
          <w:iCs/>
          <w:color w:val="000000"/>
          <w:spacing w:val="-1"/>
          <w:kern w:val="0"/>
          <w:sz w:val="23"/>
          <w:szCs w:val="23"/>
        </w:rPr>
        <w:t>does</w:t>
      </w:r>
      <w:r w:rsidRPr="0004686D">
        <w:rPr>
          <w:rFonts w:ascii="Adobe Caslon Pro" w:hAnsi="Adobe Caslon Pro" w:cs="Adobe Caslon Pro"/>
          <w:color w:val="000000"/>
          <w:spacing w:val="-1"/>
          <w:kern w:val="0"/>
          <w:sz w:val="23"/>
          <w:szCs w:val="23"/>
        </w:rPr>
        <w:t xml:space="preserve"> alienate or forfeit certain rights by committing acts of aggression.</w:t>
      </w:r>
      <w:r w:rsidRPr="0004686D">
        <w:rPr>
          <w:rFonts w:ascii="Adobe Caslon Pro" w:hAnsi="Adobe Caslon Pro" w:cs="Adobe Caslon Pro"/>
          <w:color w:val="000000"/>
          <w:spacing w:val="-1"/>
          <w:kern w:val="0"/>
          <w:position w:val="2"/>
          <w:sz w:val="20"/>
          <w:szCs w:val="20"/>
          <w:vertAlign w:val="superscript"/>
        </w:rPr>
        <w:footnoteReference w:id="16"/>
      </w:r>
      <w:r w:rsidRPr="0004686D">
        <w:rPr>
          <w:rFonts w:ascii="Adobe Caslon Pro" w:hAnsi="Adobe Caslon Pro" w:cs="Adobe Caslon Pro"/>
          <w:color w:val="000000"/>
          <w:spacing w:val="-1"/>
          <w:kern w:val="0"/>
          <w:sz w:val="23"/>
          <w:szCs w:val="23"/>
        </w:rPr>
        <w:t xml:space="preserve"> This is exactly why it is permissible to use force to </w:t>
      </w:r>
      <w:r w:rsidRPr="0004686D">
        <w:rPr>
          <w:rFonts w:ascii="Adobe Caslon Pro" w:hAnsi="Adobe Caslon Pro" w:cs="Adobe Caslon Pro"/>
          <w:color w:val="000000"/>
          <w:spacing w:val="-1"/>
          <w:kern w:val="0"/>
          <w:sz w:val="23"/>
          <w:szCs w:val="23"/>
        </w:rPr>
        <w:lastRenderedPageBreak/>
        <w:t>defend against or punish aggression, or to obtain restitution. One has a natural, not inalienable, right to be free from aggression.</w:t>
      </w:r>
    </w:p>
    <w:p w14:paraId="3454239A"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Both defensive and restitutive force, like punitive (retributive or retaliatory) force, imply some alienation of rights. This is just why defensive or restitutive force </w:t>
      </w:r>
      <w:proofErr w:type="gramStart"/>
      <w:r w:rsidRPr="0004686D">
        <w:rPr>
          <w:rFonts w:ascii="Adobe Caslon Pro" w:hAnsi="Adobe Caslon Pro" w:cs="Adobe Caslon Pro"/>
          <w:color w:val="000000"/>
          <w:spacing w:val="-2"/>
          <w:kern w:val="0"/>
          <w:sz w:val="23"/>
          <w:szCs w:val="23"/>
        </w:rPr>
        <w:t>is considered to be</w:t>
      </w:r>
      <w:proofErr w:type="gramEnd"/>
      <w:r w:rsidRPr="0004686D">
        <w:rPr>
          <w:rFonts w:ascii="Adobe Caslon Pro" w:hAnsi="Adobe Caslon Pro" w:cs="Adobe Caslon Pro"/>
          <w:color w:val="000000"/>
          <w:spacing w:val="-2"/>
          <w:kern w:val="0"/>
          <w:sz w:val="23"/>
          <w:szCs w:val="23"/>
        </w:rPr>
        <w:t xml:space="preserve"> permissible: because the aggressor has alienated his right to be free of such force. If one is opposed to punishment on inalienability grounds, how can one then endorse defensive or restitutive force? As John Goodman correctly notes, Smith’s argument against the death penalty is an argument against punishment as such, and even against defensive or restitutive force.</w:t>
      </w:r>
      <w:r w:rsidRPr="0004686D">
        <w:rPr>
          <w:rFonts w:ascii="Adobe Caslon Pro" w:hAnsi="Adobe Caslon Pro" w:cs="Adobe Caslon Pro"/>
          <w:color w:val="000000"/>
          <w:spacing w:val="-2"/>
          <w:kern w:val="0"/>
          <w:position w:val="2"/>
          <w:sz w:val="20"/>
          <w:szCs w:val="20"/>
          <w:vertAlign w:val="superscript"/>
        </w:rPr>
        <w:footnoteReference w:id="17"/>
      </w:r>
      <w:r w:rsidRPr="0004686D">
        <w:rPr>
          <w:rFonts w:ascii="Adobe Caslon Pro" w:hAnsi="Adobe Caslon Pro" w:cs="Adobe Caslon Pro"/>
          <w:color w:val="000000"/>
          <w:spacing w:val="-2"/>
          <w:kern w:val="0"/>
          <w:sz w:val="23"/>
          <w:szCs w:val="23"/>
        </w:rPr>
        <w:t xml:space="preserve"> Thus, to be consistent, Smith </w:t>
      </w:r>
      <w:proofErr w:type="gramStart"/>
      <w:r w:rsidRPr="0004686D">
        <w:rPr>
          <w:rFonts w:ascii="Adobe Caslon Pro" w:hAnsi="Adobe Caslon Pro" w:cs="Adobe Caslon Pro"/>
          <w:color w:val="000000"/>
          <w:spacing w:val="-2"/>
          <w:kern w:val="0"/>
          <w:sz w:val="23"/>
          <w:szCs w:val="23"/>
        </w:rPr>
        <w:t>has to</w:t>
      </w:r>
      <w:proofErr w:type="gramEnd"/>
      <w:r w:rsidRPr="0004686D">
        <w:rPr>
          <w:rFonts w:ascii="Adobe Caslon Pro" w:hAnsi="Adobe Caslon Pro" w:cs="Adobe Caslon Pro"/>
          <w:color w:val="000000"/>
          <w:spacing w:val="-2"/>
          <w:kern w:val="0"/>
          <w:sz w:val="23"/>
          <w:szCs w:val="23"/>
        </w:rPr>
        <w:t xml:space="preserve"> either object to </w:t>
      </w:r>
      <w:r w:rsidRPr="0004686D">
        <w:rPr>
          <w:rFonts w:ascii="Adobe Caslon Pro" w:hAnsi="Adobe Caslon Pro" w:cs="Adobe Caslon Pro"/>
          <w:i/>
          <w:iCs/>
          <w:color w:val="000000"/>
          <w:spacing w:val="-2"/>
          <w:kern w:val="0"/>
          <w:sz w:val="23"/>
          <w:szCs w:val="23"/>
        </w:rPr>
        <w:t>any</w:t>
      </w:r>
      <w:r w:rsidRPr="0004686D">
        <w:rPr>
          <w:rFonts w:ascii="Adobe Caslon Pro" w:hAnsi="Adobe Caslon Pro" w:cs="Adobe Caslon Pro"/>
          <w:color w:val="000000"/>
          <w:spacing w:val="-2"/>
          <w:kern w:val="0"/>
          <w:sz w:val="23"/>
          <w:szCs w:val="23"/>
        </w:rPr>
        <w:t xml:space="preserve"> use of force against an aggressor, including even self-defense, or admit that rights are not truly inalienable.</w:t>
      </w:r>
      <w:r w:rsidRPr="0004686D">
        <w:rPr>
          <w:rFonts w:ascii="Adobe Caslon Pro" w:hAnsi="Adobe Caslon Pro" w:cs="Adobe Caslon Pro"/>
          <w:color w:val="000000"/>
          <w:spacing w:val="-2"/>
          <w:kern w:val="0"/>
          <w:position w:val="2"/>
          <w:sz w:val="20"/>
          <w:szCs w:val="20"/>
          <w:vertAlign w:val="superscript"/>
        </w:rPr>
        <w:footnoteReference w:id="18"/>
      </w:r>
      <w:r w:rsidRPr="0004686D">
        <w:rPr>
          <w:rFonts w:ascii="Adobe Caslon Pro" w:hAnsi="Adobe Caslon Pro" w:cs="Adobe Caslon Pro"/>
          <w:color w:val="000000"/>
          <w:spacing w:val="-2"/>
          <w:kern w:val="0"/>
          <w:sz w:val="23"/>
          <w:szCs w:val="23"/>
        </w:rPr>
        <w:t xml:space="preserve"> </w:t>
      </w:r>
    </w:p>
    <w:p w14:paraId="1AE696C6"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proofErr w:type="gramStart"/>
      <w:r w:rsidRPr="0004686D">
        <w:rPr>
          <w:rFonts w:ascii="Adobe Caslon Pro" w:hAnsi="Adobe Caslon Pro" w:cs="Adobe Caslon Pro"/>
          <w:color w:val="000000"/>
          <w:spacing w:val="-2"/>
          <w:kern w:val="0"/>
          <w:sz w:val="23"/>
          <w:szCs w:val="23"/>
        </w:rPr>
        <w:t>So</w:t>
      </w:r>
      <w:proofErr w:type="gramEnd"/>
      <w:r w:rsidRPr="0004686D">
        <w:rPr>
          <w:rFonts w:ascii="Adobe Caslon Pro" w:hAnsi="Adobe Caslon Pro" w:cs="Adobe Caslon Pro"/>
          <w:color w:val="000000"/>
          <w:spacing w:val="-2"/>
          <w:kern w:val="0"/>
          <w:sz w:val="23"/>
          <w:szCs w:val="23"/>
        </w:rPr>
        <w:t xml:space="preserve"> which is it? Is Smith inconsistent, or does he consistently object to all force? Smith has apparently flip-flopped on this issue. At first, he seems to acknowledge that rights are not </w:t>
      </w:r>
      <w:proofErr w:type="gramStart"/>
      <w:r w:rsidRPr="0004686D">
        <w:rPr>
          <w:rFonts w:ascii="Adobe Caslon Pro" w:hAnsi="Adobe Caslon Pro" w:cs="Adobe Caslon Pro"/>
          <w:color w:val="000000"/>
          <w:spacing w:val="-2"/>
          <w:kern w:val="0"/>
          <w:sz w:val="23"/>
          <w:szCs w:val="23"/>
        </w:rPr>
        <w:t>really inalienable</w:t>
      </w:r>
      <w:proofErr w:type="gramEnd"/>
      <w:r w:rsidRPr="0004686D">
        <w:rPr>
          <w:rFonts w:ascii="Adobe Caslon Pro" w:hAnsi="Adobe Caslon Pro" w:cs="Adobe Caslon Pro"/>
          <w:color w:val="000000"/>
          <w:spacing w:val="-2"/>
          <w:kern w:val="0"/>
          <w:sz w:val="23"/>
          <w:szCs w:val="23"/>
        </w:rPr>
        <w:t>: “I agree with Locke that reparation (restitution) and restraint (self-defense) are the only justified uses of violence in a free society.”</w:t>
      </w:r>
      <w:r w:rsidRPr="0004686D">
        <w:rPr>
          <w:rFonts w:ascii="Adobe Caslon Pro" w:hAnsi="Adobe Caslon Pro" w:cs="Adobe Caslon Pro"/>
          <w:color w:val="000000"/>
          <w:spacing w:val="-2"/>
          <w:kern w:val="0"/>
          <w:position w:val="2"/>
          <w:sz w:val="20"/>
          <w:szCs w:val="20"/>
          <w:vertAlign w:val="superscript"/>
        </w:rPr>
        <w:footnoteReference w:id="19"/>
      </w:r>
      <w:r w:rsidRPr="0004686D">
        <w:rPr>
          <w:rFonts w:ascii="Adobe Caslon Pro" w:hAnsi="Adobe Caslon Pro" w:cs="Adobe Caslon Pro"/>
          <w:color w:val="000000"/>
          <w:spacing w:val="-2"/>
          <w:kern w:val="0"/>
          <w:sz w:val="23"/>
          <w:szCs w:val="23"/>
        </w:rPr>
        <w:t xml:space="preserve"> But a justified use of violence implies some alienation of rights. Yet later, Smith appears to change his mind:</w:t>
      </w:r>
    </w:p>
    <w:p w14:paraId="1B32FCE1"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 xml:space="preserve">Goodman argues that my case against capital punishment, if consistently applied, would militate against all forms of punishment, </w:t>
      </w:r>
      <w:r w:rsidRPr="0004686D">
        <w:rPr>
          <w:rFonts w:ascii="Adobe Caslon Pro" w:hAnsi="Adobe Caslon Pro" w:cs="Adobe Caslon Pro"/>
          <w:i/>
          <w:iCs/>
          <w:color w:val="000000"/>
          <w:kern w:val="0"/>
          <w:sz w:val="20"/>
          <w:szCs w:val="20"/>
        </w:rPr>
        <w:t>such as fines and imprisonment</w:t>
      </w:r>
      <w:r w:rsidRPr="0004686D">
        <w:rPr>
          <w:rFonts w:ascii="Adobe Caslon Pro" w:hAnsi="Adobe Caslon Pro" w:cs="Adobe Caslon Pro"/>
          <w:color w:val="000000"/>
          <w:kern w:val="0"/>
          <w:sz w:val="20"/>
          <w:szCs w:val="20"/>
        </w:rPr>
        <w:t>. I freely concede that this is a major problem for the libertarian theory of restitution.… Can we imprison someone and compel him to work off his debt? … These and other questions have not been adequately examined, much less answered, by libertarians, and I remain uncertain about how to deal with them.</w:t>
      </w:r>
      <w:r w:rsidRPr="0004686D">
        <w:rPr>
          <w:rFonts w:ascii="Adobe Caslon Pro" w:hAnsi="Adobe Caslon Pro" w:cs="Adobe Caslon Pro"/>
          <w:color w:val="000000"/>
          <w:kern w:val="0"/>
          <w:position w:val="2"/>
          <w:sz w:val="20"/>
          <w:szCs w:val="20"/>
          <w:vertAlign w:val="superscript"/>
        </w:rPr>
        <w:footnoteReference w:id="20"/>
      </w:r>
      <w:r w:rsidRPr="0004686D">
        <w:rPr>
          <w:rFonts w:ascii="Adobe Caslon Pro" w:hAnsi="Adobe Caslon Pro" w:cs="Adobe Caslon Pro"/>
          <w:color w:val="000000"/>
          <w:kern w:val="0"/>
          <w:sz w:val="20"/>
          <w:szCs w:val="20"/>
        </w:rPr>
        <w:t xml:space="preserve"> </w:t>
      </w:r>
    </w:p>
    <w:p w14:paraId="0E1BFA24" w14:textId="2021DCF9" w:rsidR="0004686D" w:rsidRPr="0004686D" w:rsidRDefault="0004686D" w:rsidP="0004686D">
      <w:pPr>
        <w:autoSpaceDE w:val="0"/>
        <w:autoSpaceDN w:val="0"/>
        <w:adjustRightInd w:val="0"/>
        <w:spacing w:line="280" w:lineRule="atLeast"/>
        <w:jc w:val="both"/>
        <w:textAlignment w:val="center"/>
        <w:rPr>
          <w:rFonts w:ascii="Le Monde Livre Cla Std Book" w:hAnsi="Le Monde Livre Cla Std Book" w:cs="Le Monde Livre Cla Std Book"/>
          <w:caps/>
          <w:color w:val="000000"/>
          <w:kern w:val="0"/>
        </w:rPr>
      </w:pPr>
      <w:r w:rsidRPr="0004686D">
        <w:rPr>
          <w:rFonts w:ascii="Adobe Caslon Pro" w:hAnsi="Adobe Caslon Pro" w:cs="Adobe Caslon Pro"/>
          <w:color w:val="000000"/>
          <w:kern w:val="0"/>
          <w:sz w:val="23"/>
          <w:szCs w:val="23"/>
        </w:rPr>
        <w:t>Smith’s view of the inalienability of rights has clearly led him down a dead end. If he is consistent, he must condemn all uses of force, even defensive and restitutive. (Such a position might be referred to as “stupid,” or, perhaps, “Darwinian,” pacifism.)</w:t>
      </w:r>
      <w:r w:rsidRPr="0004686D">
        <w:rPr>
          <w:rFonts w:ascii="Adobe Caslon Pro" w:hAnsi="Adobe Caslon Pro" w:cs="Adobe Caslon Pro"/>
          <w:color w:val="000000"/>
          <w:kern w:val="0"/>
          <w:position w:val="2"/>
          <w:sz w:val="20"/>
          <w:szCs w:val="20"/>
          <w:vertAlign w:val="superscript"/>
        </w:rPr>
        <w:footnoteReference w:id="21"/>
      </w:r>
      <w:r w:rsidRPr="0004686D">
        <w:rPr>
          <w:rFonts w:ascii="Adobe Caslon Pro" w:hAnsi="Adobe Caslon Pro" w:cs="Adobe Caslon Pro"/>
          <w:color w:val="000000"/>
          <w:kern w:val="0"/>
          <w:sz w:val="23"/>
          <w:szCs w:val="23"/>
        </w:rPr>
        <w:t xml:space="preserve"> If, however, he admits that defensive and restitutive force are permissible, he has admitted rights are not inalienable, and thus, he cannot oppose punishment on grounds of inalienability.</w:t>
      </w:r>
    </w:p>
    <w:p w14:paraId="6257E59B"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THE RIGHT OF PROPORTIONAL PUNISHMENT</w:t>
      </w:r>
    </w:p>
    <w:p w14:paraId="611063CB"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As I have argued at greater length elsewhere,</w:t>
      </w:r>
      <w:r w:rsidRPr="0004686D">
        <w:rPr>
          <w:rFonts w:ascii="Adobe Caslon Pro" w:hAnsi="Adobe Caslon Pro" w:cs="Adobe Caslon Pro"/>
          <w:color w:val="000000"/>
          <w:spacing w:val="-1"/>
          <w:kern w:val="0"/>
          <w:position w:val="2"/>
          <w:sz w:val="20"/>
          <w:szCs w:val="20"/>
          <w:vertAlign w:val="superscript"/>
        </w:rPr>
        <w:footnoteReference w:id="22"/>
      </w:r>
      <w:r w:rsidRPr="0004686D">
        <w:rPr>
          <w:rFonts w:ascii="Adobe Caslon Pro" w:hAnsi="Adobe Caslon Pro" w:cs="Adobe Caslon Pro"/>
          <w:color w:val="000000"/>
          <w:spacing w:val="-1"/>
          <w:kern w:val="0"/>
          <w:sz w:val="23"/>
          <w:szCs w:val="23"/>
        </w:rPr>
        <w:t xml:space="preserve"> an individual has a right to use force against an aggressor in response to aggression. This right to use force can be utilized for a variety of purposes: for self-defense during or before the act of aggression, for revenge, to obtain restitution (or rectification), to prevent the aggressor from committing further crimes, or to deter others from committing crimes. What the victim wants to use the right </w:t>
      </w:r>
      <w:r w:rsidRPr="0004686D">
        <w:rPr>
          <w:rFonts w:ascii="Adobe Caslon Pro" w:hAnsi="Adobe Caslon Pro" w:cs="Adobe Caslon Pro"/>
          <w:i/>
          <w:iCs/>
          <w:color w:val="000000"/>
          <w:spacing w:val="-1"/>
          <w:kern w:val="0"/>
          <w:sz w:val="23"/>
          <w:szCs w:val="23"/>
        </w:rPr>
        <w:t>for</w:t>
      </w:r>
      <w:r w:rsidRPr="0004686D">
        <w:rPr>
          <w:rFonts w:ascii="Adobe Caslon Pro" w:hAnsi="Adobe Caslon Pro" w:cs="Adobe Caslon Pro"/>
          <w:color w:val="000000"/>
          <w:spacing w:val="-1"/>
          <w:kern w:val="0"/>
          <w:sz w:val="23"/>
          <w:szCs w:val="23"/>
        </w:rPr>
        <w:t xml:space="preserve"> is his business. But the reason </w:t>
      </w:r>
      <w:r w:rsidRPr="0004686D">
        <w:rPr>
          <w:rFonts w:ascii="Adobe Caslon Pro" w:hAnsi="Adobe Caslon Pro" w:cs="Adobe Caslon Pro"/>
          <w:i/>
          <w:iCs/>
          <w:color w:val="000000"/>
          <w:spacing w:val="-1"/>
          <w:kern w:val="0"/>
          <w:sz w:val="23"/>
          <w:szCs w:val="23"/>
        </w:rPr>
        <w:t>why</w:t>
      </w:r>
      <w:r w:rsidRPr="0004686D">
        <w:rPr>
          <w:rFonts w:ascii="Adobe Caslon Pro" w:hAnsi="Adobe Caslon Pro" w:cs="Adobe Caslon Pro"/>
          <w:color w:val="000000"/>
          <w:spacing w:val="-1"/>
          <w:kern w:val="0"/>
          <w:sz w:val="23"/>
          <w:szCs w:val="23"/>
        </w:rPr>
        <w:t xml:space="preserve"> a victim has a right to retaliate or defend against an aggressor is that the aggressor cannot coherently withhold his consent to retaliatory, defensive, or restitutive force (these may be considered different types of </w:t>
      </w:r>
      <w:r w:rsidRPr="0004686D">
        <w:rPr>
          <w:rFonts w:ascii="Adobe Caslon Pro" w:hAnsi="Adobe Caslon Pro" w:cs="Adobe Caslon Pro"/>
          <w:i/>
          <w:iCs/>
          <w:color w:val="000000"/>
          <w:spacing w:val="-1"/>
          <w:kern w:val="0"/>
          <w:sz w:val="23"/>
          <w:szCs w:val="23"/>
        </w:rPr>
        <w:t>responsive</w:t>
      </w:r>
      <w:r w:rsidRPr="0004686D">
        <w:rPr>
          <w:rFonts w:ascii="Adobe Caslon Pro" w:hAnsi="Adobe Caslon Pro" w:cs="Adobe Caslon Pro"/>
          <w:color w:val="000000"/>
          <w:spacing w:val="-1"/>
          <w:kern w:val="0"/>
          <w:sz w:val="23"/>
          <w:szCs w:val="23"/>
        </w:rPr>
        <w:t xml:space="preserve"> force, that is, </w:t>
      </w:r>
      <w:r w:rsidRPr="0004686D">
        <w:rPr>
          <w:rFonts w:ascii="Adobe Caslon Pro" w:hAnsi="Adobe Caslon Pro" w:cs="Adobe Caslon Pro"/>
          <w:i/>
          <w:iCs/>
          <w:color w:val="000000"/>
          <w:spacing w:val="-1"/>
          <w:kern w:val="0"/>
          <w:sz w:val="23"/>
          <w:szCs w:val="23"/>
        </w:rPr>
        <w:lastRenderedPageBreak/>
        <w:t>non-initiated</w:t>
      </w:r>
      <w:r w:rsidRPr="0004686D">
        <w:rPr>
          <w:rFonts w:ascii="Adobe Caslon Pro" w:hAnsi="Adobe Caslon Pro" w:cs="Adobe Caslon Pro"/>
          <w:color w:val="000000"/>
          <w:spacing w:val="-1"/>
          <w:kern w:val="0"/>
          <w:sz w:val="23"/>
          <w:szCs w:val="23"/>
        </w:rPr>
        <w:t xml:space="preserve"> force, force which is </w:t>
      </w:r>
      <w:r w:rsidRPr="0004686D">
        <w:rPr>
          <w:rFonts w:ascii="Adobe Caslon Pro" w:hAnsi="Adobe Caslon Pro" w:cs="Adobe Caslon Pro"/>
          <w:i/>
          <w:iCs/>
          <w:color w:val="000000"/>
          <w:spacing w:val="-1"/>
          <w:kern w:val="0"/>
          <w:sz w:val="23"/>
          <w:szCs w:val="23"/>
        </w:rPr>
        <w:t>in response to</w:t>
      </w:r>
      <w:r w:rsidRPr="0004686D">
        <w:rPr>
          <w:rFonts w:ascii="Adobe Caslon Pro" w:hAnsi="Adobe Caslon Pro" w:cs="Adobe Caslon Pro"/>
          <w:color w:val="000000"/>
          <w:spacing w:val="-1"/>
          <w:kern w:val="0"/>
          <w:sz w:val="23"/>
          <w:szCs w:val="23"/>
        </w:rPr>
        <w:t xml:space="preserve"> initiated force). To use related legal terminology, the aggressor is “estopped,” or precluded, from denying the victim’s right to use (proportional) responsive force, since such a denial would contradict the aggressor’s view that the use of force </w:t>
      </w:r>
      <w:r w:rsidRPr="0004686D">
        <w:rPr>
          <w:rFonts w:ascii="Adobe Caslon Pro" w:hAnsi="Adobe Caslon Pro" w:cs="Adobe Caslon Pro"/>
          <w:i/>
          <w:iCs/>
          <w:color w:val="000000"/>
          <w:spacing w:val="-1"/>
          <w:kern w:val="0"/>
          <w:sz w:val="23"/>
          <w:szCs w:val="23"/>
        </w:rPr>
        <w:t>is</w:t>
      </w:r>
      <w:r w:rsidRPr="0004686D">
        <w:rPr>
          <w:rFonts w:ascii="Adobe Caslon Pro" w:hAnsi="Adobe Caslon Pro" w:cs="Adobe Caslon Pro"/>
          <w:color w:val="000000"/>
          <w:spacing w:val="-1"/>
          <w:kern w:val="0"/>
          <w:sz w:val="23"/>
          <w:szCs w:val="23"/>
        </w:rPr>
        <w:t xml:space="preserve"> permissible (the view ineluctably demonstrated by the act of aggression).</w:t>
      </w:r>
      <w:r w:rsidRPr="0004686D">
        <w:rPr>
          <w:rFonts w:ascii="Adobe Caslon Pro" w:hAnsi="Adobe Caslon Pro" w:cs="Adobe Caslon Pro"/>
          <w:color w:val="000000"/>
          <w:spacing w:val="-1"/>
          <w:kern w:val="0"/>
          <w:position w:val="2"/>
          <w:sz w:val="20"/>
          <w:szCs w:val="20"/>
          <w:vertAlign w:val="superscript"/>
        </w:rPr>
        <w:footnoteReference w:id="23"/>
      </w:r>
      <w:r w:rsidRPr="0004686D">
        <w:rPr>
          <w:rFonts w:ascii="Adobe Caslon Pro" w:hAnsi="Adobe Caslon Pro" w:cs="Adobe Caslon Pro"/>
          <w:color w:val="000000"/>
          <w:spacing w:val="-1"/>
          <w:kern w:val="0"/>
          <w:sz w:val="23"/>
          <w:szCs w:val="23"/>
        </w:rPr>
        <w:t xml:space="preserve"> </w:t>
      </w:r>
    </w:p>
    <w:p w14:paraId="4CD13F95"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Thus, eye-for-an-eye type proportional punishments are legitimate in response to aggression. A murderer, therefore, is estopped from objecting to his own capital punishment. He can no longer claim a right to be free from such treatment. Since he previously had such a right, the right that he previously had must have evaporated. We may say, then, that his right to not have force used against him has been alienated (or forfeited, waived, abandoned, relinquished, surrendered, or lost; the terminology is not important).</w:t>
      </w:r>
      <w:r w:rsidRPr="0004686D">
        <w:rPr>
          <w:rFonts w:ascii="Adobe Caslon Pro" w:hAnsi="Adobe Caslon Pro" w:cs="Adobe Caslon Pro"/>
          <w:color w:val="000000"/>
          <w:kern w:val="0"/>
          <w:position w:val="2"/>
          <w:sz w:val="20"/>
          <w:szCs w:val="20"/>
          <w:vertAlign w:val="superscript"/>
        </w:rPr>
        <w:footnoteReference w:id="24"/>
      </w:r>
      <w:r w:rsidRPr="0004686D">
        <w:rPr>
          <w:rFonts w:ascii="Adobe Caslon Pro" w:hAnsi="Adobe Caslon Pro" w:cs="Adobe Caslon Pro"/>
          <w:color w:val="000000"/>
          <w:kern w:val="0"/>
          <w:sz w:val="23"/>
          <w:szCs w:val="23"/>
        </w:rPr>
        <w:t xml:space="preserve"> </w:t>
      </w:r>
    </w:p>
    <w:p w14:paraId="128112FE"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THE UTILITY OF PUNISHMENT</w:t>
      </w:r>
    </w:p>
    <w:p w14:paraId="7CC26845"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There are further errors in Smith’s article. Consider, for example, Smith’s view that restitution is superior to punishment as a basis for criminal justice. Smith argues that punishing an aggressor “does not restore or equalize rights; it simply wipes out another set of rights,” and that allowing retaliation only provides, at most, “a sense of emotional balance” to the victim. Several responses to this argument can be made. First, Smith here begs the question of whether rights are inalienable by assuming that the aggressor </w:t>
      </w:r>
      <w:r w:rsidRPr="0004686D">
        <w:rPr>
          <w:rFonts w:ascii="Adobe Caslon Pro" w:hAnsi="Adobe Caslon Pro" w:cs="Adobe Caslon Pro"/>
          <w:i/>
          <w:iCs/>
          <w:color w:val="000000"/>
          <w:kern w:val="0"/>
          <w:sz w:val="23"/>
          <w:szCs w:val="23"/>
        </w:rPr>
        <w:t>has</w:t>
      </w:r>
      <w:r w:rsidRPr="0004686D">
        <w:rPr>
          <w:rFonts w:ascii="Adobe Caslon Pro" w:hAnsi="Adobe Caslon Pro" w:cs="Adobe Caslon Pro"/>
          <w:color w:val="000000"/>
          <w:kern w:val="0"/>
          <w:sz w:val="23"/>
          <w:szCs w:val="23"/>
        </w:rPr>
        <w:t xml:space="preserve"> a set of rights to be violated. If the aggressor’s rights were alienated, proportionally punishing him does not “wipe out his rights,” as he had none left to wipe out.</w:t>
      </w:r>
    </w:p>
    <w:p w14:paraId="492722A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Second, just because punishment does not restore rights, it is not clear why restitution is automatically superior, since restitution does not restore rights either. It is true that the consequences and fact of an act of aggression can never be undone. The indignity will always have been suffered. Any response by a victim, including restitution and retribution, will always be an imperfect remedy. Indeed, this is one reason why aggression is impermissible: because the harm done thereby is literally </w:t>
      </w:r>
      <w:r w:rsidRPr="0004686D">
        <w:rPr>
          <w:rFonts w:ascii="Adobe Caslon Pro" w:hAnsi="Adobe Caslon Pro" w:cs="Adobe Caslon Pro"/>
          <w:color w:val="000000"/>
          <w:spacing w:val="-2"/>
          <w:kern w:val="0"/>
          <w:sz w:val="23"/>
          <w:szCs w:val="23"/>
        </w:rPr>
        <w:t>undoable, incalculable, and not subject to an adequate remedy.</w:t>
      </w:r>
      <w:r w:rsidRPr="0004686D">
        <w:rPr>
          <w:rFonts w:ascii="Adobe Caslon Pro" w:hAnsi="Adobe Caslon Pro" w:cs="Adobe Caslon Pro"/>
          <w:color w:val="000000"/>
          <w:spacing w:val="-2"/>
          <w:kern w:val="0"/>
          <w:position w:val="2"/>
          <w:sz w:val="20"/>
          <w:szCs w:val="20"/>
          <w:vertAlign w:val="superscript"/>
        </w:rPr>
        <w:footnoteReference w:id="25"/>
      </w:r>
      <w:r w:rsidRPr="0004686D">
        <w:rPr>
          <w:rFonts w:ascii="Adobe Caslon Pro" w:hAnsi="Adobe Caslon Pro" w:cs="Adobe Caslon Pro"/>
          <w:color w:val="000000"/>
          <w:spacing w:val="-2"/>
          <w:kern w:val="0"/>
          <w:sz w:val="23"/>
          <w:szCs w:val="23"/>
        </w:rPr>
        <w:t xml:space="preserve"> A victim</w:t>
      </w:r>
      <w:r w:rsidRPr="0004686D">
        <w:rPr>
          <w:rFonts w:ascii="Adobe Caslon Pro" w:hAnsi="Adobe Caslon Pro" w:cs="Adobe Caslon Pro"/>
          <w:color w:val="000000"/>
          <w:kern w:val="0"/>
          <w:sz w:val="23"/>
          <w:szCs w:val="23"/>
        </w:rPr>
        <w:t xml:space="preserve"> will always remain, to some extent, a victim.</w:t>
      </w:r>
    </w:p>
    <w:p w14:paraId="7D68C5EA"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This does not, however, dictate that the victim should be artificially restricted in choosing among various imperfect remedies. Admittedly, both inflicting punishment on an aggressor (retribution) and extracting monetary damages from him (restitution) are imperfect remedies. But why not let the victim decide which one, or which combination of these, he prefers?</w:t>
      </w:r>
      <w:r w:rsidRPr="0004686D">
        <w:rPr>
          <w:rFonts w:ascii="Adobe Caslon Pro" w:hAnsi="Adobe Caslon Pro" w:cs="Adobe Caslon Pro"/>
          <w:color w:val="000000"/>
          <w:spacing w:val="-2"/>
          <w:kern w:val="0"/>
          <w:position w:val="2"/>
          <w:sz w:val="20"/>
          <w:szCs w:val="20"/>
          <w:vertAlign w:val="superscript"/>
        </w:rPr>
        <w:footnoteReference w:id="26"/>
      </w:r>
      <w:r w:rsidRPr="0004686D">
        <w:rPr>
          <w:rFonts w:ascii="Adobe Caslon Pro" w:hAnsi="Adobe Caslon Pro" w:cs="Adobe Caslon Pro"/>
          <w:color w:val="000000"/>
          <w:spacing w:val="-2"/>
          <w:kern w:val="0"/>
          <w:sz w:val="23"/>
          <w:szCs w:val="23"/>
        </w:rPr>
        <w:t xml:space="preserve"> After all, the victim did not ask to be made a victim. He did not ask to be put in the position of having only two imperfect possible remedies available to him. If a victim prefers to torture his torturer, who is Smith to say that the victim’s preference is not rational? Unlike Smith, I am not so unwilling to allow victims to attempt to attain “a sense of </w:t>
      </w:r>
      <w:r w:rsidRPr="0004686D">
        <w:rPr>
          <w:rFonts w:ascii="Adobe Caslon Pro" w:hAnsi="Adobe Caslon Pro" w:cs="Adobe Caslon Pro"/>
          <w:color w:val="000000"/>
          <w:spacing w:val="-2"/>
          <w:kern w:val="0"/>
          <w:sz w:val="23"/>
          <w:szCs w:val="23"/>
        </w:rPr>
        <w:lastRenderedPageBreak/>
        <w:t xml:space="preserve">emotional balance,” if that is all that is possible to them. (Like Barnett, however, I am concerned about the unavoidable possibility of mistakenly punishing the </w:t>
      </w:r>
      <w:proofErr w:type="gramStart"/>
      <w:r w:rsidRPr="0004686D">
        <w:rPr>
          <w:rFonts w:ascii="Adobe Caslon Pro" w:hAnsi="Adobe Caslon Pro" w:cs="Adobe Caslon Pro"/>
          <w:color w:val="000000"/>
          <w:spacing w:val="-2"/>
          <w:kern w:val="0"/>
          <w:sz w:val="23"/>
          <w:szCs w:val="23"/>
        </w:rPr>
        <w:t>innocent, and</w:t>
      </w:r>
      <w:proofErr w:type="gramEnd"/>
      <w:r w:rsidRPr="0004686D">
        <w:rPr>
          <w:rFonts w:ascii="Adobe Caslon Pro" w:hAnsi="Adobe Caslon Pro" w:cs="Adobe Caslon Pro"/>
          <w:color w:val="000000"/>
          <w:spacing w:val="-2"/>
          <w:kern w:val="0"/>
          <w:sz w:val="23"/>
          <w:szCs w:val="23"/>
        </w:rPr>
        <w:t xml:space="preserve"> thus admit the appeal of a restitution-based system </w:t>
      </w:r>
      <w:proofErr w:type="gramStart"/>
      <w:r w:rsidRPr="0004686D">
        <w:rPr>
          <w:rFonts w:ascii="Adobe Caslon Pro" w:hAnsi="Adobe Caslon Pro" w:cs="Adobe Caslon Pro"/>
          <w:color w:val="000000"/>
          <w:spacing w:val="-2"/>
          <w:kern w:val="0"/>
          <w:sz w:val="23"/>
          <w:szCs w:val="23"/>
        </w:rPr>
        <w:t>in order to</w:t>
      </w:r>
      <w:proofErr w:type="gramEnd"/>
      <w:r w:rsidRPr="0004686D">
        <w:rPr>
          <w:rFonts w:ascii="Adobe Caslon Pro" w:hAnsi="Adobe Caslon Pro" w:cs="Adobe Caslon Pro"/>
          <w:color w:val="000000"/>
          <w:spacing w:val="-2"/>
          <w:kern w:val="0"/>
          <w:sz w:val="23"/>
          <w:szCs w:val="23"/>
        </w:rPr>
        <w:t xml:space="preserve"> avoid punishing innocents, but not for reasons of inalienability.)</w:t>
      </w:r>
      <w:r w:rsidRPr="0004686D">
        <w:rPr>
          <w:rFonts w:ascii="Adobe Caslon Pro" w:hAnsi="Adobe Caslon Pro" w:cs="Adobe Caslon Pro"/>
          <w:color w:val="000000"/>
          <w:spacing w:val="-2"/>
          <w:kern w:val="0"/>
          <w:position w:val="2"/>
          <w:sz w:val="20"/>
          <w:szCs w:val="20"/>
          <w:vertAlign w:val="superscript"/>
        </w:rPr>
        <w:footnoteReference w:id="27"/>
      </w:r>
      <w:r w:rsidRPr="0004686D">
        <w:rPr>
          <w:rFonts w:ascii="Adobe Caslon Pro" w:hAnsi="Adobe Caslon Pro" w:cs="Adobe Caslon Pro"/>
          <w:color w:val="000000"/>
          <w:spacing w:val="-2"/>
          <w:kern w:val="0"/>
          <w:sz w:val="23"/>
          <w:szCs w:val="23"/>
        </w:rPr>
        <w:t xml:space="preserve"> </w:t>
      </w:r>
    </w:p>
    <w:p w14:paraId="377DA821"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The right to inflict (proportional) punishment on one’s aggressor can be useful in other ways as well. Most significantly, perhaps, it may be utilized to reach a more objective determination of the proper amount of restitution. For example, the victim may trade all or part of his right to retaliate for a payment (“ransom”) or other service by the aggressor, i.e., the aggressor buys his way out of punishment.</w:t>
      </w:r>
      <w:r w:rsidRPr="0004686D">
        <w:rPr>
          <w:rFonts w:ascii="Adobe Caslon Pro" w:hAnsi="Adobe Caslon Pro" w:cs="Adobe Caslon Pro"/>
          <w:color w:val="000000"/>
          <w:spacing w:val="-2"/>
          <w:kern w:val="0"/>
          <w:position w:val="2"/>
          <w:sz w:val="20"/>
          <w:szCs w:val="20"/>
          <w:vertAlign w:val="superscript"/>
        </w:rPr>
        <w:footnoteReference w:id="28"/>
      </w:r>
      <w:r w:rsidRPr="0004686D">
        <w:rPr>
          <w:rFonts w:ascii="Adobe Caslon Pro" w:hAnsi="Adobe Caslon Pro" w:cs="Adobe Caslon Pro"/>
          <w:color w:val="000000"/>
          <w:spacing w:val="-2"/>
          <w:kern w:val="0"/>
          <w:sz w:val="23"/>
          <w:szCs w:val="23"/>
        </w:rPr>
        <w:t xml:space="preserve"> A serious aggression leads to the right to inflict more severe punishment on the aggressor, which would thus tend to be traded for a higher average amount of ransom or restitution than for comparatively minor crimes. Further, a victim especially offended or traumatized by aggression (and thus subjectively “damaged” more severely) will tend to bargain for a higher ransom. Also, richer aggressors will tend to be willing to pay more ransom to avoid the punishment the victim has a right to inflict.</w:t>
      </w:r>
      <w:r w:rsidRPr="0004686D">
        <w:rPr>
          <w:rFonts w:ascii="Adobe Caslon Pro" w:hAnsi="Adobe Caslon Pro" w:cs="Adobe Caslon Pro"/>
          <w:color w:val="000000"/>
          <w:spacing w:val="-2"/>
          <w:kern w:val="0"/>
          <w:position w:val="2"/>
          <w:sz w:val="20"/>
          <w:szCs w:val="20"/>
          <w:vertAlign w:val="superscript"/>
        </w:rPr>
        <w:footnoteReference w:id="29"/>
      </w:r>
      <w:r w:rsidRPr="0004686D">
        <w:rPr>
          <w:rFonts w:ascii="Adobe Caslon Pro" w:hAnsi="Adobe Caslon Pro" w:cs="Adobe Caslon Pro"/>
          <w:color w:val="000000"/>
          <w:spacing w:val="-2"/>
          <w:kern w:val="0"/>
          <w:sz w:val="23"/>
          <w:szCs w:val="23"/>
        </w:rPr>
        <w:t xml:space="preserve"> Thus, allowing punishment to be traded for damages solves the so-called millionaire or billionaire problem faced under a pure restitution system, where a rich man may commit crimes with impunity, since he can simply pay easily-affordable restitution after committing the crime.</w:t>
      </w:r>
    </w:p>
    <w:p w14:paraId="6AA7D912"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04686D">
        <w:rPr>
          <w:rFonts w:ascii="Adobe Caslon Pro" w:hAnsi="Adobe Caslon Pro" w:cs="Adobe Caslon Pro"/>
          <w:color w:val="000000"/>
          <w:spacing w:val="-3"/>
          <w:kern w:val="0"/>
          <w:sz w:val="23"/>
          <w:szCs w:val="23"/>
        </w:rPr>
        <w:t>For these reasons, allowing the option of punishment can help arrive at a more objective measure of restitution damages.</w:t>
      </w:r>
      <w:r w:rsidRPr="0004686D">
        <w:rPr>
          <w:rFonts w:ascii="Adobe Caslon Pro" w:hAnsi="Adobe Caslon Pro" w:cs="Adobe Caslon Pro"/>
          <w:color w:val="000000"/>
          <w:spacing w:val="-3"/>
          <w:kern w:val="0"/>
          <w:position w:val="2"/>
          <w:sz w:val="20"/>
          <w:szCs w:val="20"/>
          <w:vertAlign w:val="superscript"/>
        </w:rPr>
        <w:footnoteReference w:id="30"/>
      </w:r>
      <w:r w:rsidRPr="0004686D">
        <w:rPr>
          <w:rFonts w:ascii="Adobe Caslon Pro" w:hAnsi="Adobe Caslon Pro" w:cs="Adobe Caslon Pro"/>
          <w:color w:val="000000"/>
          <w:spacing w:val="-3"/>
          <w:kern w:val="0"/>
          <w:sz w:val="23"/>
          <w:szCs w:val="23"/>
        </w:rPr>
        <w:t xml:space="preserve"> And even if punishment is banned and is not an actual option—because of the possibility of mistakenly punishing innocents, say—an award of restitution can be </w:t>
      </w:r>
      <w:r w:rsidRPr="0004686D">
        <w:rPr>
          <w:rFonts w:ascii="Adobe Caslon Pro" w:hAnsi="Adobe Caslon Pro" w:cs="Adobe Caslon Pro"/>
          <w:i/>
          <w:iCs/>
          <w:color w:val="000000"/>
          <w:spacing w:val="-3"/>
          <w:kern w:val="0"/>
          <w:sz w:val="23"/>
          <w:szCs w:val="23"/>
        </w:rPr>
        <w:t>based</w:t>
      </w:r>
      <w:r w:rsidRPr="0004686D">
        <w:rPr>
          <w:rFonts w:ascii="Adobe Caslon Pro" w:hAnsi="Adobe Caslon Pro" w:cs="Adobe Caslon Pro"/>
          <w:color w:val="000000"/>
          <w:spacing w:val="-3"/>
          <w:kern w:val="0"/>
          <w:sz w:val="23"/>
          <w:szCs w:val="23"/>
        </w:rPr>
        <w:t xml:space="preserve"> on the model of punishment. E.g., a jury could be instructed to award the victim an amount of money it believes he </w:t>
      </w:r>
      <w:r w:rsidRPr="0004686D">
        <w:rPr>
          <w:rFonts w:ascii="Adobe Caslon Pro" w:hAnsi="Adobe Caslon Pro" w:cs="Adobe Caslon Pro"/>
          <w:i/>
          <w:iCs/>
          <w:color w:val="000000"/>
          <w:spacing w:val="-3"/>
          <w:kern w:val="0"/>
          <w:sz w:val="23"/>
          <w:szCs w:val="23"/>
        </w:rPr>
        <w:t>could</w:t>
      </w:r>
      <w:r w:rsidRPr="0004686D">
        <w:rPr>
          <w:rFonts w:ascii="Adobe Caslon Pro" w:hAnsi="Adobe Caslon Pro" w:cs="Adobe Caslon Pro"/>
          <w:color w:val="000000"/>
          <w:spacing w:val="-3"/>
          <w:kern w:val="0"/>
          <w:sz w:val="23"/>
          <w:szCs w:val="23"/>
        </w:rPr>
        <w:t xml:space="preserve"> bargain for, given all the circumstances, </w:t>
      </w:r>
      <w:r w:rsidRPr="0004686D">
        <w:rPr>
          <w:rFonts w:ascii="Adobe Caslon Pro" w:hAnsi="Adobe Caslon Pro" w:cs="Adobe Caslon Pro"/>
          <w:i/>
          <w:iCs/>
          <w:color w:val="000000"/>
          <w:spacing w:val="-3"/>
          <w:kern w:val="0"/>
          <w:sz w:val="23"/>
          <w:szCs w:val="23"/>
        </w:rPr>
        <w:t>if</w:t>
      </w:r>
      <w:r w:rsidRPr="0004686D">
        <w:rPr>
          <w:rFonts w:ascii="Adobe Caslon Pro" w:hAnsi="Adobe Caslon Pro" w:cs="Adobe Caslon Pro"/>
          <w:color w:val="000000"/>
          <w:spacing w:val="-3"/>
          <w:kern w:val="0"/>
          <w:sz w:val="23"/>
          <w:szCs w:val="23"/>
        </w:rPr>
        <w:t xml:space="preserve"> he could threaten to punish the aggressor. This can lead to more just and objective restitution awards than would result if the jury is simply told to award the </w:t>
      </w:r>
      <w:proofErr w:type="gramStart"/>
      <w:r w:rsidRPr="0004686D">
        <w:rPr>
          <w:rFonts w:ascii="Adobe Caslon Pro" w:hAnsi="Adobe Caslon Pro" w:cs="Adobe Caslon Pro"/>
          <w:color w:val="000000"/>
          <w:spacing w:val="-3"/>
          <w:kern w:val="0"/>
          <w:sz w:val="23"/>
          <w:szCs w:val="23"/>
        </w:rPr>
        <w:t>amount</w:t>
      </w:r>
      <w:proofErr w:type="gramEnd"/>
      <w:r w:rsidRPr="0004686D">
        <w:rPr>
          <w:rFonts w:ascii="Adobe Caslon Pro" w:hAnsi="Adobe Caslon Pro" w:cs="Adobe Caslon Pro"/>
          <w:color w:val="000000"/>
          <w:spacing w:val="-3"/>
          <w:kern w:val="0"/>
          <w:sz w:val="23"/>
          <w:szCs w:val="23"/>
        </w:rPr>
        <w:t xml:space="preserve"> of damages it “feels” is “fair.”</w:t>
      </w:r>
      <w:r w:rsidRPr="0004686D">
        <w:rPr>
          <w:rFonts w:ascii="Adobe Caslon Pro" w:hAnsi="Adobe Caslon Pro" w:cs="Adobe Caslon Pro"/>
          <w:color w:val="000000"/>
          <w:spacing w:val="-3"/>
          <w:kern w:val="0"/>
          <w:position w:val="2"/>
          <w:sz w:val="20"/>
          <w:szCs w:val="20"/>
          <w:vertAlign w:val="superscript"/>
        </w:rPr>
        <w:footnoteReference w:id="31"/>
      </w:r>
      <w:r w:rsidRPr="0004686D">
        <w:rPr>
          <w:rFonts w:ascii="Adobe Caslon Pro" w:hAnsi="Adobe Caslon Pro" w:cs="Adobe Caslon Pro"/>
          <w:color w:val="000000"/>
          <w:spacing w:val="-3"/>
          <w:kern w:val="0"/>
          <w:sz w:val="23"/>
          <w:szCs w:val="23"/>
        </w:rPr>
        <w:t xml:space="preserve"> </w:t>
      </w:r>
    </w:p>
    <w:p w14:paraId="443F74A2"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right to retaliate could also be used to justify “enslaving” the </w:t>
      </w:r>
      <w:r w:rsidRPr="0004686D">
        <w:rPr>
          <w:rFonts w:ascii="Adobe Caslon Pro" w:hAnsi="Adobe Caslon Pro" w:cs="Adobe Caslon Pro"/>
          <w:color w:val="000000"/>
          <w:spacing w:val="1"/>
          <w:kern w:val="0"/>
          <w:sz w:val="23"/>
          <w:szCs w:val="23"/>
        </w:rPr>
        <w:t xml:space="preserve">aggressor and putting him to work for a time to generate income for </w:t>
      </w:r>
      <w:r w:rsidRPr="0004686D">
        <w:rPr>
          <w:rFonts w:ascii="Adobe Caslon Pro" w:hAnsi="Adobe Caslon Pro" w:cs="Adobe Caslon Pro"/>
          <w:color w:val="000000"/>
          <w:kern w:val="0"/>
          <w:sz w:val="23"/>
          <w:szCs w:val="23"/>
        </w:rPr>
        <w:t xml:space="preserve">the victim (restitutionists like Barnett support this use of force against </w:t>
      </w:r>
      <w:r w:rsidRPr="0004686D">
        <w:rPr>
          <w:rFonts w:ascii="Adobe Caslon Pro" w:hAnsi="Adobe Caslon Pro" w:cs="Adobe Caslon Pro"/>
          <w:color w:val="000000"/>
          <w:spacing w:val="-1"/>
          <w:kern w:val="0"/>
          <w:sz w:val="23"/>
          <w:szCs w:val="23"/>
        </w:rPr>
        <w:t xml:space="preserve">the aggressor, but do not consider it to be punitive, but rather necessary </w:t>
      </w:r>
      <w:r w:rsidRPr="0004686D">
        <w:rPr>
          <w:rFonts w:ascii="Adobe Caslon Pro" w:hAnsi="Adobe Caslon Pro" w:cs="Adobe Caslon Pro"/>
          <w:color w:val="000000"/>
          <w:spacing w:val="-5"/>
          <w:kern w:val="0"/>
          <w:sz w:val="23"/>
          <w:szCs w:val="23"/>
        </w:rPr>
        <w:t>to enforce restitution).</w:t>
      </w:r>
      <w:r w:rsidRPr="0004686D">
        <w:rPr>
          <w:rFonts w:ascii="Adobe Caslon Pro" w:hAnsi="Adobe Caslon Pro" w:cs="Adobe Caslon Pro"/>
          <w:color w:val="000000"/>
          <w:spacing w:val="-4"/>
          <w:kern w:val="0"/>
          <w:position w:val="2"/>
          <w:sz w:val="20"/>
          <w:szCs w:val="20"/>
          <w:vertAlign w:val="superscript"/>
        </w:rPr>
        <w:footnoteReference w:id="32"/>
      </w:r>
      <w:r w:rsidRPr="0004686D">
        <w:rPr>
          <w:rFonts w:ascii="Adobe Caslon Pro" w:hAnsi="Adobe Caslon Pro" w:cs="Adobe Caslon Pro"/>
          <w:color w:val="000000"/>
          <w:spacing w:val="-5"/>
          <w:kern w:val="0"/>
          <w:sz w:val="23"/>
          <w:szCs w:val="23"/>
        </w:rPr>
        <w:t xml:space="preserve"> Or suppose an aggressor is very poor and otherwise</w:t>
      </w:r>
      <w:r w:rsidRPr="0004686D">
        <w:rPr>
          <w:rFonts w:ascii="Adobe Caslon Pro" w:hAnsi="Adobe Caslon Pro" w:cs="Adobe Caslon Pro"/>
          <w:color w:val="000000"/>
          <w:spacing w:val="-1"/>
          <w:kern w:val="0"/>
          <w:sz w:val="23"/>
          <w:szCs w:val="23"/>
        </w:rPr>
        <w:t xml:space="preserve"> unable to pay monetary damages to the victim. In this case, the threat of inflicting severe punishment on the aggressor may induce the aggressor’s relatives or friends to pay off the victim to spare the aggressor from being punished. The victim would thereby be compensated even though the aggressor is penniless, whereas the victim would be totally uncompensated if no threat of punishment were available to motivate the aggressor’s relatives to chip in. (In a restitution-based system, a poor aggressor who is imprisoned in a work-facility designed to generate income payable to the victim may also find friends and relatives to pay off part of his debt to have him released earlier. However, as the </w:t>
      </w:r>
      <w:r w:rsidRPr="0004686D">
        <w:rPr>
          <w:rFonts w:ascii="Adobe Caslon Pro" w:hAnsi="Adobe Caslon Pro" w:cs="Adobe Caslon Pro"/>
          <w:color w:val="000000"/>
          <w:spacing w:val="-1"/>
          <w:kern w:val="0"/>
          <w:sz w:val="23"/>
          <w:szCs w:val="23"/>
        </w:rPr>
        <w:lastRenderedPageBreak/>
        <w:t>aggressor in this case faces only a limited and usually temporary form of “slavery” and not more severe punishment, the motivation for others to bail him out would probably be reduced.)</w:t>
      </w:r>
      <w:r w:rsidRPr="0004686D">
        <w:rPr>
          <w:rFonts w:ascii="Adobe Caslon Pro" w:hAnsi="Adobe Caslon Pro" w:cs="Adobe Caslon Pro"/>
          <w:color w:val="000000"/>
          <w:spacing w:val="-1"/>
          <w:kern w:val="0"/>
          <w:position w:val="2"/>
          <w:sz w:val="20"/>
          <w:szCs w:val="20"/>
          <w:vertAlign w:val="superscript"/>
        </w:rPr>
        <w:footnoteReference w:id="33"/>
      </w:r>
      <w:r w:rsidRPr="0004686D">
        <w:rPr>
          <w:rFonts w:ascii="Adobe Caslon Pro" w:hAnsi="Adobe Caslon Pro" w:cs="Adobe Caslon Pro"/>
          <w:color w:val="000000"/>
          <w:spacing w:val="-1"/>
          <w:kern w:val="0"/>
          <w:sz w:val="23"/>
          <w:szCs w:val="23"/>
        </w:rPr>
        <w:t xml:space="preserve"> </w:t>
      </w:r>
    </w:p>
    <w:p w14:paraId="516A56AC"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INALIENABILITY</w:t>
      </w:r>
    </w:p>
    <w:p w14:paraId="778BECEE"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theory of inalienability has been plagued by confusion, vagueness, and inconsistency. The concept is typically applied to the issue of whether a </w:t>
      </w:r>
      <w:r w:rsidRPr="0004686D">
        <w:rPr>
          <w:rFonts w:ascii="Adobe Caslon Pro" w:hAnsi="Adobe Caslon Pro" w:cs="Adobe Caslon Pro"/>
          <w:i/>
          <w:iCs/>
          <w:color w:val="000000"/>
          <w:spacing w:val="1"/>
          <w:kern w:val="0"/>
          <w:sz w:val="23"/>
          <w:szCs w:val="23"/>
        </w:rPr>
        <w:t>non-aggressor</w:t>
      </w:r>
      <w:r w:rsidRPr="0004686D">
        <w:rPr>
          <w:rFonts w:ascii="Adobe Caslon Pro" w:hAnsi="Adobe Caslon Pro" w:cs="Adobe Caslon Pro"/>
          <w:color w:val="000000"/>
          <w:spacing w:val="1"/>
          <w:kern w:val="0"/>
          <w:sz w:val="23"/>
          <w:szCs w:val="23"/>
        </w:rPr>
        <w:t xml:space="preserve"> can alienate his rights by a mere contract or promise, i.e., by a peaceful action. For example, may one sell oneself into slavery or </w:t>
      </w:r>
      <w:proofErr w:type="gramStart"/>
      <w:r w:rsidRPr="0004686D">
        <w:rPr>
          <w:rFonts w:ascii="Adobe Caslon Pro" w:hAnsi="Adobe Caslon Pro" w:cs="Adobe Caslon Pro"/>
          <w:color w:val="000000"/>
          <w:spacing w:val="1"/>
          <w:kern w:val="0"/>
          <w:sz w:val="23"/>
          <w:szCs w:val="23"/>
        </w:rPr>
        <w:t>enter into</w:t>
      </w:r>
      <w:proofErr w:type="gramEnd"/>
      <w:r w:rsidRPr="0004686D">
        <w:rPr>
          <w:rFonts w:ascii="Adobe Caslon Pro" w:hAnsi="Adobe Caslon Pro" w:cs="Adobe Caslon Pro"/>
          <w:color w:val="000000"/>
          <w:spacing w:val="1"/>
          <w:kern w:val="0"/>
          <w:sz w:val="23"/>
          <w:szCs w:val="23"/>
        </w:rPr>
        <w:t xml:space="preserve"> a binding, enforceable contract to perform services? Libertarians come down on both sides of this question, but tend to say that rights are “inalienable,” i.e., one may not sell oneself into slavery.</w:t>
      </w:r>
      <w:r w:rsidRPr="0004686D">
        <w:rPr>
          <w:rFonts w:ascii="Adobe Caslon Pro" w:hAnsi="Adobe Caslon Pro" w:cs="Adobe Caslon Pro"/>
          <w:color w:val="000000"/>
          <w:spacing w:val="1"/>
          <w:kern w:val="0"/>
          <w:position w:val="2"/>
          <w:sz w:val="20"/>
          <w:szCs w:val="20"/>
          <w:vertAlign w:val="superscript"/>
        </w:rPr>
        <w:footnoteReference w:id="34"/>
      </w:r>
      <w:r w:rsidRPr="0004686D">
        <w:rPr>
          <w:rFonts w:ascii="Adobe Caslon Pro" w:hAnsi="Adobe Caslon Pro" w:cs="Adobe Caslon Pro"/>
          <w:color w:val="000000"/>
          <w:spacing w:val="1"/>
          <w:kern w:val="0"/>
          <w:sz w:val="23"/>
          <w:szCs w:val="23"/>
        </w:rPr>
        <w:t xml:space="preserve"> Most libertarians hold this view of inalienability, which I will refer to as the standard or “limited” view of inalienability, since adherents of this view usually also maintain that acts of aggression </w:t>
      </w:r>
      <w:r w:rsidRPr="0004686D">
        <w:rPr>
          <w:rFonts w:ascii="Adobe Caslon Pro" w:hAnsi="Adobe Caslon Pro" w:cs="Adobe Caslon Pro"/>
          <w:i/>
          <w:iCs/>
          <w:color w:val="000000"/>
          <w:spacing w:val="1"/>
          <w:kern w:val="0"/>
          <w:sz w:val="23"/>
          <w:szCs w:val="23"/>
        </w:rPr>
        <w:t>do</w:t>
      </w:r>
      <w:r w:rsidRPr="0004686D">
        <w:rPr>
          <w:rFonts w:ascii="Adobe Caslon Pro" w:hAnsi="Adobe Caslon Pro" w:cs="Adobe Caslon Pro"/>
          <w:color w:val="000000"/>
          <w:spacing w:val="1"/>
          <w:kern w:val="0"/>
          <w:sz w:val="23"/>
          <w:szCs w:val="23"/>
        </w:rPr>
        <w:t xml:space="preserve"> alienate rights.</w:t>
      </w:r>
      <w:r w:rsidRPr="0004686D">
        <w:rPr>
          <w:rFonts w:ascii="Adobe Caslon Pro" w:hAnsi="Adobe Caslon Pro" w:cs="Adobe Caslon Pro"/>
          <w:color w:val="000000"/>
          <w:spacing w:val="1"/>
          <w:kern w:val="0"/>
          <w:position w:val="2"/>
          <w:sz w:val="20"/>
          <w:szCs w:val="20"/>
          <w:vertAlign w:val="superscript"/>
        </w:rPr>
        <w:footnoteReference w:id="35"/>
      </w:r>
      <w:r w:rsidRPr="0004686D">
        <w:rPr>
          <w:rFonts w:ascii="Adobe Caslon Pro" w:hAnsi="Adobe Caslon Pro" w:cs="Adobe Caslon Pro"/>
          <w:color w:val="000000"/>
          <w:spacing w:val="1"/>
          <w:kern w:val="0"/>
          <w:sz w:val="23"/>
          <w:szCs w:val="23"/>
        </w:rPr>
        <w:t xml:space="preserve"> In this view, only violent actions serve to alienate rights. Smith has used the label “inalienability” in an idiosyncratic way to mean that even </w:t>
      </w:r>
      <w:r w:rsidRPr="0004686D">
        <w:rPr>
          <w:rFonts w:ascii="Adobe Caslon Pro" w:hAnsi="Adobe Caslon Pro" w:cs="Adobe Caslon Pro"/>
          <w:i/>
          <w:iCs/>
          <w:color w:val="000000"/>
          <w:spacing w:val="1"/>
          <w:kern w:val="0"/>
          <w:sz w:val="23"/>
          <w:szCs w:val="23"/>
        </w:rPr>
        <w:t>aggressive</w:t>
      </w:r>
      <w:r w:rsidRPr="0004686D">
        <w:rPr>
          <w:rFonts w:ascii="Adobe Caslon Pro" w:hAnsi="Adobe Caslon Pro" w:cs="Adobe Caslon Pro"/>
          <w:color w:val="000000"/>
          <w:spacing w:val="1"/>
          <w:kern w:val="0"/>
          <w:sz w:val="23"/>
          <w:szCs w:val="23"/>
        </w:rPr>
        <w:t xml:space="preserve"> actions do not alienate rights.</w:t>
      </w:r>
    </w:p>
    <w:p w14:paraId="4E0D6E9B"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What, then, is the correct, libertarian view of inalienability and rights? Consent is the crucial element to focus on here. If a person consents to an action that would otherwise violate his rights, there is no rights violation. Boxers in a ring, or duelers dueling, do not have their rights violated when struck by fist or bullet. This is because they consented to these exchanges of force.</w:t>
      </w:r>
      <w:r w:rsidRPr="0004686D">
        <w:rPr>
          <w:rFonts w:ascii="Adobe Caslon Pro" w:hAnsi="Adobe Caslon Pro" w:cs="Adobe Caslon Pro"/>
          <w:color w:val="000000"/>
          <w:kern w:val="0"/>
          <w:position w:val="2"/>
          <w:sz w:val="20"/>
          <w:szCs w:val="20"/>
          <w:vertAlign w:val="superscript"/>
        </w:rPr>
        <w:footnoteReference w:id="36"/>
      </w:r>
      <w:r w:rsidRPr="0004686D">
        <w:rPr>
          <w:rFonts w:ascii="Adobe Caslon Pro" w:hAnsi="Adobe Caslon Pro" w:cs="Adobe Caslon Pro"/>
          <w:color w:val="000000"/>
          <w:kern w:val="0"/>
          <w:sz w:val="23"/>
          <w:szCs w:val="23"/>
        </w:rPr>
        <w:t xml:space="preserve"> To alienate one’s right </w:t>
      </w:r>
      <w:r w:rsidRPr="0004686D">
        <w:rPr>
          <w:rFonts w:ascii="Adobe Caslon Pro" w:hAnsi="Adobe Caslon Pro" w:cs="Adobe Caslon Pro"/>
          <w:i/>
          <w:iCs/>
          <w:color w:val="000000"/>
          <w:kern w:val="0"/>
          <w:sz w:val="23"/>
          <w:szCs w:val="23"/>
        </w:rPr>
        <w:t>means that</w:t>
      </w:r>
      <w:r w:rsidRPr="0004686D">
        <w:rPr>
          <w:rFonts w:ascii="Adobe Caslon Pro" w:hAnsi="Adobe Caslon Pro" w:cs="Adobe Caslon Pro"/>
          <w:color w:val="000000"/>
          <w:kern w:val="0"/>
          <w:sz w:val="23"/>
          <w:szCs w:val="23"/>
        </w:rPr>
        <w:t xml:space="preserve"> one is </w:t>
      </w:r>
      <w:r w:rsidRPr="0004686D">
        <w:rPr>
          <w:rFonts w:ascii="Adobe Caslon Pro" w:hAnsi="Adobe Caslon Pro" w:cs="Adobe Caslon Pro"/>
          <w:i/>
          <w:iCs/>
          <w:color w:val="000000"/>
          <w:kern w:val="0"/>
          <w:sz w:val="23"/>
          <w:szCs w:val="23"/>
        </w:rPr>
        <w:t>unable</w:t>
      </w:r>
      <w:r w:rsidRPr="0004686D">
        <w:rPr>
          <w:rFonts w:ascii="Adobe Caslon Pro" w:hAnsi="Adobe Caslon Pro" w:cs="Adobe Caslon Pro"/>
          <w:color w:val="000000"/>
          <w:kern w:val="0"/>
          <w:sz w:val="23"/>
          <w:szCs w:val="23"/>
        </w:rPr>
        <w:t xml:space="preserve"> to withhold consent to some action that would otherwise infringe the right if there were no consent. Thus, a right is alienated by somehow rendering it impossible to object to the action that the alienated right would otherwise prohibit. One does something </w:t>
      </w:r>
      <w:r w:rsidRPr="0004686D">
        <w:rPr>
          <w:rFonts w:ascii="Adobe Caslon Pro" w:hAnsi="Adobe Caslon Pro" w:cs="Adobe Caslon Pro"/>
          <w:i/>
          <w:iCs/>
          <w:color w:val="000000"/>
          <w:kern w:val="0"/>
          <w:sz w:val="23"/>
          <w:szCs w:val="23"/>
        </w:rPr>
        <w:t>now</w:t>
      </w:r>
      <w:r w:rsidRPr="0004686D">
        <w:rPr>
          <w:rFonts w:ascii="Adobe Caslon Pro" w:hAnsi="Adobe Caslon Pro" w:cs="Adobe Caslon Pro"/>
          <w:color w:val="000000"/>
          <w:kern w:val="0"/>
          <w:sz w:val="23"/>
          <w:szCs w:val="23"/>
        </w:rPr>
        <w:t xml:space="preserve"> that prevents one from withholding consent in the future, thereby effectively alienating the relevant right. To alienate a right, then, is to </w:t>
      </w:r>
      <w:r w:rsidRPr="0004686D">
        <w:rPr>
          <w:rFonts w:ascii="Adobe Caslon Pro" w:hAnsi="Adobe Caslon Pro" w:cs="Adobe Caslon Pro"/>
          <w:i/>
          <w:iCs/>
          <w:color w:val="000000"/>
          <w:kern w:val="0"/>
          <w:sz w:val="23"/>
          <w:szCs w:val="23"/>
        </w:rPr>
        <w:t>irrevocably</w:t>
      </w:r>
      <w:r w:rsidRPr="0004686D">
        <w:rPr>
          <w:rFonts w:ascii="Adobe Caslon Pro" w:hAnsi="Adobe Caslon Pro" w:cs="Adobe Caslon Pro"/>
          <w:color w:val="000000"/>
          <w:kern w:val="0"/>
          <w:sz w:val="23"/>
          <w:szCs w:val="23"/>
        </w:rPr>
        <w:t xml:space="preserve"> grant the relevant consent to another.</w:t>
      </w:r>
    </w:p>
    <w:p w14:paraId="74590BCB"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04686D">
        <w:rPr>
          <w:rFonts w:ascii="Adobe Caslon Pro" w:hAnsi="Adobe Caslon Pro" w:cs="Adobe Caslon Pro"/>
          <w:color w:val="000000"/>
          <w:spacing w:val="-3"/>
          <w:kern w:val="0"/>
          <w:sz w:val="23"/>
          <w:szCs w:val="23"/>
        </w:rPr>
        <w:t xml:space="preserve">Is it possible to irrevocably grant consent? Smith, an advocate of what may be called the “strong” view of inalienability, would say it is not possible under any circumstances (except, perhaps, for defensive or restitutive force). Proponents of the limited view of inalienability, by contrast, hold </w:t>
      </w:r>
      <w:r w:rsidRPr="0004686D">
        <w:rPr>
          <w:rFonts w:ascii="Adobe Caslon Pro" w:hAnsi="Adobe Caslon Pro" w:cs="Adobe Caslon Pro"/>
          <w:color w:val="000000"/>
          <w:spacing w:val="-1"/>
          <w:kern w:val="0"/>
          <w:sz w:val="23"/>
          <w:szCs w:val="23"/>
        </w:rPr>
        <w:t>that it is possible to do this by aggressing, but not by merely making an agreement or promise. (Those rare libertarians, like Walter Block, who believe rights may be alienated even by a non-violent action like agreement, hold what may be viewed as a “weak” view of inalienability.)</w:t>
      </w:r>
      <w:r w:rsidRPr="0004686D">
        <w:rPr>
          <w:rFonts w:ascii="Adobe Caslon Pro" w:hAnsi="Adobe Caslon Pro" w:cs="Adobe Caslon Pro"/>
          <w:color w:val="000000"/>
          <w:spacing w:val="-1"/>
          <w:kern w:val="0"/>
          <w:position w:val="2"/>
          <w:sz w:val="20"/>
          <w:szCs w:val="20"/>
          <w:vertAlign w:val="superscript"/>
        </w:rPr>
        <w:footnoteReference w:id="37"/>
      </w:r>
      <w:r w:rsidRPr="0004686D">
        <w:rPr>
          <w:rFonts w:ascii="Adobe Caslon Pro" w:hAnsi="Adobe Caslon Pro" w:cs="Adobe Caslon Pro"/>
          <w:color w:val="000000"/>
          <w:spacing w:val="-1"/>
          <w:kern w:val="0"/>
          <w:sz w:val="23"/>
          <w:szCs w:val="23"/>
        </w:rPr>
        <w:t xml:space="preserve"> </w:t>
      </w:r>
    </w:p>
    <w:p w14:paraId="172662A2" w14:textId="589FB64A"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Let us examine the three ways that consent possibly could be </w:t>
      </w:r>
      <w:r w:rsidRPr="0004686D">
        <w:rPr>
          <w:rFonts w:ascii="Adobe Caslon Pro" w:hAnsi="Adobe Caslon Pro" w:cs="Adobe Caslon Pro"/>
          <w:color w:val="000000"/>
          <w:spacing w:val="-1"/>
          <w:kern w:val="0"/>
          <w:sz w:val="23"/>
          <w:szCs w:val="23"/>
        </w:rPr>
        <w:t>irrevocably granted: by physical means, by aggression, and by voluntary</w:t>
      </w:r>
      <w:r w:rsidRPr="0004686D">
        <w:rPr>
          <w:rFonts w:ascii="Adobe Caslon Pro" w:hAnsi="Adobe Caslon Pro" w:cs="Adobe Caslon Pro"/>
          <w:color w:val="000000"/>
          <w:kern w:val="0"/>
          <w:sz w:val="23"/>
          <w:szCs w:val="23"/>
        </w:rPr>
        <w:t xml:space="preserve"> agreement. The physical, or physiological, means refers to a person voluntarily undergoing some </w:t>
      </w:r>
      <w:r w:rsidRPr="0004686D">
        <w:rPr>
          <w:rFonts w:ascii="Adobe Caslon Pro" w:hAnsi="Adobe Caslon Pro" w:cs="Adobe Caslon Pro"/>
          <w:color w:val="000000"/>
          <w:kern w:val="0"/>
          <w:sz w:val="23"/>
          <w:szCs w:val="23"/>
        </w:rPr>
        <w:lastRenderedPageBreak/>
        <w:t>process that literally places him under the power of another (e.g., drugs, surgery, technology).</w:t>
      </w:r>
      <w:r w:rsidRPr="0004686D">
        <w:rPr>
          <w:rFonts w:ascii="Adobe Caslon Pro" w:hAnsi="Adobe Caslon Pro" w:cs="Adobe Caslon Pro"/>
          <w:color w:val="000000"/>
          <w:kern w:val="0"/>
          <w:position w:val="2"/>
          <w:sz w:val="20"/>
          <w:szCs w:val="20"/>
          <w:vertAlign w:val="superscript"/>
        </w:rPr>
        <w:footnoteReference w:id="38"/>
      </w:r>
      <w:r w:rsidRPr="0004686D">
        <w:rPr>
          <w:rFonts w:ascii="Adobe Caslon Pro" w:hAnsi="Adobe Caslon Pro" w:cs="Adobe Caslon Pro"/>
          <w:color w:val="000000"/>
          <w:kern w:val="0"/>
          <w:sz w:val="23"/>
          <w:szCs w:val="23"/>
        </w:rPr>
        <w:t xml:space="preserve"> This is akin to committing an act of suicide or “</w:t>
      </w:r>
      <w:proofErr w:type="spellStart"/>
      <w:r w:rsidRPr="0004686D">
        <w:rPr>
          <w:rFonts w:ascii="Adobe Caslon Pro" w:hAnsi="Adobe Caslon Pro" w:cs="Adobe Caslon Pro"/>
          <w:color w:val="000000"/>
          <w:kern w:val="0"/>
          <w:sz w:val="23"/>
          <w:szCs w:val="23"/>
        </w:rPr>
        <w:t>zombicide</w:t>
      </w:r>
      <w:proofErr w:type="spellEnd"/>
      <w:r w:rsidRPr="0004686D">
        <w:rPr>
          <w:rFonts w:ascii="Adobe Caslon Pro" w:hAnsi="Adobe Caslon Pro" w:cs="Adobe Caslon Pro"/>
          <w:color w:val="000000"/>
          <w:kern w:val="0"/>
          <w:sz w:val="23"/>
          <w:szCs w:val="23"/>
        </w:rPr>
        <w:t xml:space="preserve">,” and is not of particular interest, since after the </w:t>
      </w:r>
      <w:proofErr w:type="spellStart"/>
      <w:r w:rsidRPr="0004686D">
        <w:rPr>
          <w:rFonts w:ascii="Adobe Caslon Pro" w:hAnsi="Adobe Caslon Pro" w:cs="Adobe Caslon Pro"/>
          <w:color w:val="000000"/>
          <w:kern w:val="0"/>
          <w:sz w:val="23"/>
          <w:szCs w:val="23"/>
        </w:rPr>
        <w:t>zombicide</w:t>
      </w:r>
      <w:proofErr w:type="spellEnd"/>
      <w:r w:rsidRPr="0004686D">
        <w:rPr>
          <w:rFonts w:ascii="Adobe Caslon Pro" w:hAnsi="Adobe Caslon Pro" w:cs="Adobe Caslon Pro"/>
          <w:color w:val="000000"/>
          <w:kern w:val="0"/>
          <w:sz w:val="23"/>
          <w:szCs w:val="23"/>
        </w:rPr>
        <w:t xml:space="preserve"> is complete, the zombie presumably does not even try to run away or withhold consent from his master.</w:t>
      </w:r>
    </w:p>
    <w:p w14:paraId="36A2AC4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Committing an act of aggression is a clear-cut means for alienating (some of) one’s rights. As explained above,</w:t>
      </w:r>
      <w:r w:rsidRPr="0004686D">
        <w:rPr>
          <w:rFonts w:ascii="Adobe Caslon Pro" w:hAnsi="Adobe Caslon Pro" w:cs="Adobe Caslon Pro"/>
          <w:color w:val="000000"/>
          <w:spacing w:val="-2"/>
          <w:kern w:val="0"/>
          <w:position w:val="2"/>
          <w:sz w:val="20"/>
          <w:szCs w:val="20"/>
          <w:vertAlign w:val="superscript"/>
        </w:rPr>
        <w:footnoteReference w:id="39"/>
      </w:r>
      <w:r w:rsidRPr="0004686D">
        <w:rPr>
          <w:rFonts w:ascii="Adobe Caslon Pro" w:hAnsi="Adobe Caslon Pro" w:cs="Adobe Caslon Pro"/>
          <w:color w:val="000000"/>
          <w:spacing w:val="-2"/>
          <w:kern w:val="0"/>
          <w:sz w:val="23"/>
          <w:szCs w:val="23"/>
        </w:rPr>
        <w:t xml:space="preserve"> an aggressor is estopped </w:t>
      </w:r>
      <w:r w:rsidRPr="0004686D">
        <w:rPr>
          <w:rFonts w:ascii="Adobe Caslon Pro" w:hAnsi="Adobe Caslon Pro" w:cs="Adobe Caslon Pro"/>
          <w:color w:val="000000"/>
          <w:spacing w:val="-5"/>
          <w:kern w:val="0"/>
          <w:sz w:val="23"/>
          <w:szCs w:val="23"/>
        </w:rPr>
        <w:t>from withholding consent to the victim’s proposed use of (proportional)</w:t>
      </w:r>
      <w:r w:rsidRPr="0004686D">
        <w:rPr>
          <w:rFonts w:ascii="Adobe Caslon Pro" w:hAnsi="Adobe Caslon Pro" w:cs="Adobe Caslon Pro"/>
          <w:color w:val="000000"/>
          <w:spacing w:val="-2"/>
          <w:kern w:val="0"/>
          <w:sz w:val="23"/>
          <w:szCs w:val="23"/>
        </w:rPr>
        <w:t xml:space="preserve"> retaliatory force, since such a denial would contradict the aggressor’s view that the use of force is permissible. An act of aggression is a way of irrevocably granting consent to punishment. This is exactly why an act of aggression serves to alienate rights: because the act of aggression conclusively demonstrates the aggressor’s view that aggression is proper, thus precluding him from consistently objecting to the victim’s use of (proportional) retaliatory force. The strong view of inalienability (Smith’s view) is, for this reason, untenable.</w:t>
      </w:r>
      <w:r w:rsidRPr="0004686D">
        <w:rPr>
          <w:rFonts w:ascii="Adobe Caslon Pro" w:hAnsi="Adobe Caslon Pro" w:cs="Adobe Caslon Pro"/>
          <w:color w:val="000000"/>
          <w:spacing w:val="-2"/>
          <w:kern w:val="0"/>
          <w:position w:val="2"/>
          <w:sz w:val="20"/>
          <w:szCs w:val="20"/>
          <w:vertAlign w:val="superscript"/>
        </w:rPr>
        <w:footnoteReference w:id="40"/>
      </w:r>
      <w:r w:rsidRPr="0004686D">
        <w:rPr>
          <w:rFonts w:ascii="Adobe Caslon Pro" w:hAnsi="Adobe Caslon Pro" w:cs="Adobe Caslon Pro"/>
          <w:color w:val="000000"/>
          <w:spacing w:val="-2"/>
          <w:kern w:val="0"/>
          <w:sz w:val="23"/>
          <w:szCs w:val="23"/>
        </w:rPr>
        <w:t xml:space="preserve"> So which view is correct, the limited view or the weak view?</w:t>
      </w:r>
    </w:p>
    <w:p w14:paraId="19B902C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5"/>
          <w:kern w:val="0"/>
          <w:sz w:val="23"/>
          <w:szCs w:val="23"/>
        </w:rPr>
      </w:pPr>
      <w:r w:rsidRPr="0004686D">
        <w:rPr>
          <w:rFonts w:ascii="Adobe Caslon Pro" w:hAnsi="Adobe Caslon Pro" w:cs="Adobe Caslon Pro"/>
          <w:color w:val="000000"/>
          <w:spacing w:val="-5"/>
          <w:kern w:val="0"/>
          <w:sz w:val="23"/>
          <w:szCs w:val="23"/>
        </w:rPr>
        <w:t xml:space="preserve">This depends on the answer to the following question: Can one irrevocably grant consent by voluntary agreement, such as a promise or contract to be another’s slave? Barnett recognizes the importance of consent here: </w:t>
      </w:r>
    </w:p>
    <w:p w14:paraId="69AD63D6"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04686D">
        <w:rPr>
          <w:rFonts w:ascii="Adobe Caslon Pro" w:hAnsi="Adobe Caslon Pro" w:cs="Adobe Caslon Pro"/>
          <w:color w:val="000000"/>
          <w:spacing w:val="2"/>
          <w:kern w:val="0"/>
          <w:sz w:val="20"/>
          <w:szCs w:val="20"/>
        </w:rPr>
        <w:t>The crucial question … is whether Ann’s current consensual choices can limit her right to revoke her consent in the future. Having consented to let Ben touch her or to enter the [boxing] ring with him, may she be forced to carry through with her commitment after she has changed her mind?”</w:t>
      </w:r>
      <w:r w:rsidRPr="0004686D">
        <w:rPr>
          <w:rFonts w:ascii="Adobe Caslon Pro" w:hAnsi="Adobe Caslon Pro" w:cs="Adobe Caslon Pro"/>
          <w:color w:val="000000"/>
          <w:spacing w:val="2"/>
          <w:kern w:val="0"/>
          <w:position w:val="2"/>
          <w:sz w:val="20"/>
          <w:szCs w:val="20"/>
          <w:vertAlign w:val="superscript"/>
        </w:rPr>
        <w:footnoteReference w:id="41"/>
      </w:r>
      <w:r w:rsidRPr="0004686D">
        <w:rPr>
          <w:rFonts w:ascii="Adobe Caslon Pro" w:hAnsi="Adobe Caslon Pro" w:cs="Adobe Caslon Pro"/>
          <w:color w:val="000000"/>
          <w:spacing w:val="2"/>
          <w:kern w:val="0"/>
          <w:sz w:val="20"/>
          <w:szCs w:val="20"/>
        </w:rPr>
        <w:t xml:space="preserve"> </w:t>
      </w:r>
    </w:p>
    <w:p w14:paraId="3BDC0220"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This is a difficult and complicated question. Some argue that a contract is a contract, and may be enforced.</w:t>
      </w:r>
      <w:r w:rsidRPr="0004686D">
        <w:rPr>
          <w:rFonts w:ascii="Adobe Caslon Pro" w:hAnsi="Adobe Caslon Pro" w:cs="Adobe Caslon Pro"/>
          <w:color w:val="000000"/>
          <w:spacing w:val="-2"/>
          <w:kern w:val="0"/>
          <w:position w:val="2"/>
          <w:sz w:val="20"/>
          <w:szCs w:val="20"/>
          <w:vertAlign w:val="superscript"/>
        </w:rPr>
        <w:footnoteReference w:id="42"/>
      </w:r>
      <w:r w:rsidRPr="0004686D">
        <w:rPr>
          <w:rFonts w:ascii="Adobe Caslon Pro" w:hAnsi="Adobe Caslon Pro" w:cs="Adobe Caslon Pro"/>
          <w:color w:val="000000"/>
          <w:spacing w:val="-2"/>
          <w:kern w:val="0"/>
          <w:sz w:val="23"/>
          <w:szCs w:val="23"/>
        </w:rPr>
        <w:t xml:space="preserve"> This view is based on the theory that one is a self-owner, entitled to full control of all of one’s property, including one’s body, and that this control comprises the ability to sell one’s body.</w:t>
      </w:r>
      <w:r w:rsidRPr="0004686D">
        <w:rPr>
          <w:rFonts w:ascii="Adobe Caslon Pro" w:hAnsi="Adobe Caslon Pro" w:cs="Adobe Caslon Pro"/>
          <w:color w:val="000000"/>
          <w:spacing w:val="-2"/>
          <w:kern w:val="0"/>
          <w:position w:val="2"/>
          <w:sz w:val="20"/>
          <w:szCs w:val="20"/>
          <w:vertAlign w:val="superscript"/>
        </w:rPr>
        <w:footnoteReference w:id="43"/>
      </w:r>
      <w:r w:rsidRPr="0004686D">
        <w:rPr>
          <w:rFonts w:ascii="Adobe Caslon Pro" w:hAnsi="Adobe Caslon Pro" w:cs="Adobe Caslon Pro"/>
          <w:color w:val="000000"/>
          <w:spacing w:val="-2"/>
          <w:kern w:val="0"/>
          <w:sz w:val="23"/>
          <w:szCs w:val="23"/>
        </w:rPr>
        <w:t xml:space="preserve"> Most libertarians, however, seem to hold the limited view of inalienability, whereby aggression does alienate rights, but promising to be someone’s slave does not. Advocates of this view typically argue that such contracts are not enforceable because there is some sort of logical impossibility involved in voluntarily alienating all of one’s rights in this manner.</w:t>
      </w:r>
      <w:r w:rsidRPr="0004686D">
        <w:rPr>
          <w:rFonts w:ascii="Adobe Caslon Pro" w:hAnsi="Adobe Caslon Pro" w:cs="Adobe Caslon Pro"/>
          <w:color w:val="000000"/>
          <w:spacing w:val="-2"/>
          <w:kern w:val="0"/>
          <w:position w:val="2"/>
          <w:sz w:val="20"/>
          <w:szCs w:val="20"/>
          <w:vertAlign w:val="superscript"/>
        </w:rPr>
        <w:footnoteReference w:id="44"/>
      </w:r>
      <w:r w:rsidRPr="0004686D">
        <w:rPr>
          <w:rFonts w:ascii="Adobe Caslon Pro" w:hAnsi="Adobe Caslon Pro" w:cs="Adobe Caslon Pro"/>
          <w:color w:val="000000"/>
          <w:spacing w:val="-2"/>
          <w:kern w:val="0"/>
          <w:sz w:val="23"/>
          <w:szCs w:val="23"/>
        </w:rPr>
        <w:t xml:space="preserve"> For example, some argue that it is literally impossible to transfer one’s actual will to another, and thus a promise to do so is null and void; title thereto cannot be transferred. It is like contracting to sell the sun to someone. Such a contract, having an impossible object, would be null and void from the outset.</w:t>
      </w:r>
    </w:p>
    <w:p w14:paraId="024A695C"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My view is that the impossibility reasoning typically given to argue that consent cannot be irrevocably granted is fallacious and has helped to muddle the issue of inalienability. For example, if the “impossibility” of literally alienating </w:t>
      </w:r>
      <w:proofErr w:type="gramStart"/>
      <w:r w:rsidRPr="0004686D">
        <w:rPr>
          <w:rFonts w:ascii="Adobe Caslon Pro" w:hAnsi="Adobe Caslon Pro" w:cs="Adobe Caslon Pro"/>
          <w:color w:val="000000"/>
          <w:spacing w:val="-2"/>
          <w:kern w:val="0"/>
          <w:sz w:val="23"/>
          <w:szCs w:val="23"/>
        </w:rPr>
        <w:lastRenderedPageBreak/>
        <w:t>one’s</w:t>
      </w:r>
      <w:proofErr w:type="gramEnd"/>
      <w:r w:rsidRPr="0004686D">
        <w:rPr>
          <w:rFonts w:ascii="Adobe Caslon Pro" w:hAnsi="Adobe Caslon Pro" w:cs="Adobe Caslon Pro"/>
          <w:color w:val="000000"/>
          <w:spacing w:val="-2"/>
          <w:kern w:val="0"/>
          <w:sz w:val="23"/>
          <w:szCs w:val="23"/>
        </w:rPr>
        <w:t xml:space="preserve"> will means that it is impossible to be bound by contract to act as someone’s slave, why is it not “impossible” to imprison an aggressor to enforce restitution? After all, even a convicted aggressor still has a will. Why is it not “impossible” to defend oneself with force? And yet it is </w:t>
      </w:r>
      <w:r w:rsidRPr="0004686D">
        <w:rPr>
          <w:rFonts w:ascii="Adobe Caslon Pro" w:hAnsi="Adobe Caslon Pro" w:cs="Adobe Caslon Pro"/>
          <w:i/>
          <w:iCs/>
          <w:color w:val="000000"/>
          <w:spacing w:val="-2"/>
          <w:kern w:val="0"/>
          <w:sz w:val="23"/>
          <w:szCs w:val="23"/>
        </w:rPr>
        <w:t>not</w:t>
      </w:r>
      <w:r w:rsidRPr="0004686D">
        <w:rPr>
          <w:rFonts w:ascii="Adobe Caslon Pro" w:hAnsi="Adobe Caslon Pro" w:cs="Adobe Caslon Pro"/>
          <w:color w:val="000000"/>
          <w:spacing w:val="-2"/>
          <w:kern w:val="0"/>
          <w:sz w:val="23"/>
          <w:szCs w:val="23"/>
        </w:rPr>
        <w:t xml:space="preserve"> impossible for consent to be irrevocably granted, as we have seen; this condition exists for a justly imprisoned aggressor. Recipients of defensive, restitutive, or retaliatory force all retain a will, which is overwhelmed with some type of responsive force.</w:t>
      </w:r>
    </w:p>
    <w:p w14:paraId="7BB898D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key here is to focus on force and consent, for to keep someone as a slave, it is not necessary that </w:t>
      </w:r>
      <w:proofErr w:type="gramStart"/>
      <w:r w:rsidRPr="0004686D">
        <w:rPr>
          <w:rFonts w:ascii="Adobe Caslon Pro" w:hAnsi="Adobe Caslon Pro" w:cs="Adobe Caslon Pro"/>
          <w:color w:val="000000"/>
          <w:spacing w:val="-1"/>
          <w:kern w:val="0"/>
          <w:sz w:val="23"/>
          <w:szCs w:val="23"/>
        </w:rPr>
        <w:t>the</w:t>
      </w:r>
      <w:proofErr w:type="gramEnd"/>
      <w:r w:rsidRPr="0004686D">
        <w:rPr>
          <w:rFonts w:ascii="Adobe Caslon Pro" w:hAnsi="Adobe Caslon Pro" w:cs="Adobe Caslon Pro"/>
          <w:color w:val="000000"/>
          <w:spacing w:val="-1"/>
          <w:kern w:val="0"/>
          <w:sz w:val="23"/>
          <w:szCs w:val="23"/>
        </w:rPr>
        <w:t xml:space="preserve"> will be physically alienated. Rather, </w:t>
      </w:r>
      <w:proofErr w:type="gramStart"/>
      <w:r w:rsidRPr="0004686D">
        <w:rPr>
          <w:rFonts w:ascii="Adobe Caslon Pro" w:hAnsi="Adobe Caslon Pro" w:cs="Adobe Caslon Pro"/>
          <w:color w:val="000000"/>
          <w:spacing w:val="-1"/>
          <w:kern w:val="0"/>
          <w:sz w:val="23"/>
          <w:szCs w:val="23"/>
        </w:rPr>
        <w:t>in order to</w:t>
      </w:r>
      <w:proofErr w:type="gramEnd"/>
      <w:r w:rsidRPr="0004686D">
        <w:rPr>
          <w:rFonts w:ascii="Adobe Caslon Pro" w:hAnsi="Adobe Caslon Pro" w:cs="Adobe Caslon Pro"/>
          <w:color w:val="000000"/>
          <w:spacing w:val="-1"/>
          <w:kern w:val="0"/>
          <w:sz w:val="23"/>
          <w:szCs w:val="23"/>
        </w:rPr>
        <w:t xml:space="preserve"> enslave someone, the slave-owner must be </w:t>
      </w:r>
      <w:r w:rsidRPr="0004686D">
        <w:rPr>
          <w:rFonts w:ascii="Adobe Caslon Pro" w:hAnsi="Adobe Caslon Pro" w:cs="Adobe Caslon Pro"/>
          <w:i/>
          <w:iCs/>
          <w:color w:val="000000"/>
          <w:spacing w:val="-1"/>
          <w:kern w:val="0"/>
          <w:sz w:val="23"/>
          <w:szCs w:val="23"/>
        </w:rPr>
        <w:t>entitled</w:t>
      </w:r>
      <w:r w:rsidRPr="0004686D">
        <w:rPr>
          <w:rFonts w:ascii="Adobe Caslon Pro" w:hAnsi="Adobe Caslon Pro" w:cs="Adobe Caslon Pro"/>
          <w:color w:val="000000"/>
          <w:spacing w:val="-1"/>
          <w:kern w:val="0"/>
          <w:sz w:val="23"/>
          <w:szCs w:val="23"/>
        </w:rPr>
        <w:t xml:space="preserve"> to use (justified in using) force against the slave if the slave disobeys or tries to run away. The impossibility of </w:t>
      </w:r>
      <w:proofErr w:type="gramStart"/>
      <w:r w:rsidRPr="0004686D">
        <w:rPr>
          <w:rFonts w:ascii="Adobe Caslon Pro" w:hAnsi="Adobe Caslon Pro" w:cs="Adobe Caslon Pro"/>
          <w:color w:val="000000"/>
          <w:spacing w:val="-1"/>
          <w:kern w:val="0"/>
          <w:sz w:val="23"/>
          <w:szCs w:val="23"/>
        </w:rPr>
        <w:t>actually alienating</w:t>
      </w:r>
      <w:proofErr w:type="gramEnd"/>
      <w:r w:rsidRPr="0004686D">
        <w:rPr>
          <w:rFonts w:ascii="Adobe Caslon Pro" w:hAnsi="Adobe Caslon Pro" w:cs="Adobe Caslon Pro"/>
          <w:color w:val="000000"/>
          <w:spacing w:val="-1"/>
          <w:kern w:val="0"/>
          <w:sz w:val="23"/>
          <w:szCs w:val="23"/>
        </w:rPr>
        <w:t xml:space="preserve"> one’s faculty of volition is irrelevant. It is the legitimacy of using force that matters, and this depends on consent.</w:t>
      </w:r>
    </w:p>
    <w:p w14:paraId="73CBF5E0" w14:textId="494180C0"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Putting the issue this way, however, provides a different argument why consent cannot irrevocably be granted by mere agreement or promise—</w:t>
      </w:r>
      <w:r w:rsidRPr="0004686D">
        <w:rPr>
          <w:rFonts w:ascii="Adobe Caslon Pro" w:hAnsi="Adobe Caslon Pro" w:cs="Adobe Caslon Pro"/>
          <w:color w:val="000000"/>
          <w:spacing w:val="-5"/>
          <w:kern w:val="0"/>
          <w:sz w:val="23"/>
          <w:szCs w:val="23"/>
        </w:rPr>
        <w:t xml:space="preserve">why the prospective slave may change his mind in the future and withdraw </w:t>
      </w:r>
      <w:r w:rsidRPr="0004686D">
        <w:rPr>
          <w:rFonts w:ascii="Adobe Caslon Pro" w:hAnsi="Adobe Caslon Pro" w:cs="Adobe Caslon Pro"/>
          <w:color w:val="000000"/>
          <w:spacing w:val="-1"/>
          <w:kern w:val="0"/>
          <w:sz w:val="23"/>
          <w:szCs w:val="23"/>
        </w:rPr>
        <w:t xml:space="preserve">his consent. If </w:t>
      </w:r>
      <w:r w:rsidRPr="0004686D">
        <w:rPr>
          <w:rFonts w:ascii="Adobe Caslon Pro" w:hAnsi="Adobe Caslon Pro" w:cs="Adobe Caslon Pro"/>
          <w:i/>
          <w:iCs/>
          <w:color w:val="000000"/>
          <w:spacing w:val="-1"/>
          <w:kern w:val="0"/>
          <w:sz w:val="23"/>
          <w:szCs w:val="23"/>
        </w:rPr>
        <w:t>A</w:t>
      </w:r>
      <w:r w:rsidRPr="0004686D">
        <w:rPr>
          <w:rFonts w:ascii="Adobe Caslon Pro" w:hAnsi="Adobe Caslon Pro" w:cs="Adobe Caslon Pro"/>
          <w:color w:val="000000"/>
          <w:spacing w:val="-1"/>
          <w:kern w:val="0"/>
          <w:sz w:val="23"/>
          <w:szCs w:val="23"/>
        </w:rPr>
        <w:t xml:space="preserve"> promises (or </w:t>
      </w:r>
      <w:proofErr w:type="gramStart"/>
      <w:r w:rsidRPr="0004686D">
        <w:rPr>
          <w:rFonts w:ascii="Adobe Caslon Pro" w:hAnsi="Adobe Caslon Pro" w:cs="Adobe Caslon Pro"/>
          <w:color w:val="000000"/>
          <w:spacing w:val="-1"/>
          <w:kern w:val="0"/>
          <w:sz w:val="23"/>
          <w:szCs w:val="23"/>
        </w:rPr>
        <w:t>contracts, or</w:t>
      </w:r>
      <w:proofErr w:type="gramEnd"/>
      <w:r w:rsidRPr="0004686D">
        <w:rPr>
          <w:rFonts w:ascii="Adobe Caslon Pro" w:hAnsi="Adobe Caslon Pro" w:cs="Adobe Caslon Pro"/>
          <w:color w:val="000000"/>
          <w:spacing w:val="-1"/>
          <w:kern w:val="0"/>
          <w:sz w:val="23"/>
          <w:szCs w:val="23"/>
        </w:rPr>
        <w:t xml:space="preserve"> agrees; the terminology is not important) to be </w:t>
      </w:r>
      <w:r w:rsidRPr="0004686D">
        <w:rPr>
          <w:rFonts w:ascii="Adobe Caslon Pro" w:hAnsi="Adobe Caslon Pro" w:cs="Adobe Caslon Pro"/>
          <w:i/>
          <w:iCs/>
          <w:color w:val="000000"/>
          <w:spacing w:val="-1"/>
          <w:kern w:val="0"/>
          <w:sz w:val="23"/>
          <w:szCs w:val="23"/>
        </w:rPr>
        <w:t>B</w:t>
      </w:r>
      <w:r w:rsidRPr="0004686D">
        <w:rPr>
          <w:rFonts w:ascii="Adobe Caslon Pro" w:hAnsi="Adobe Caslon Pro" w:cs="Adobe Caslon Pro"/>
          <w:color w:val="000000"/>
          <w:spacing w:val="-1"/>
          <w:kern w:val="0"/>
          <w:sz w:val="23"/>
          <w:szCs w:val="23"/>
        </w:rPr>
        <w:t xml:space="preserve">’s slave, this is no doubt an attempt to consent </w:t>
      </w:r>
      <w:r w:rsidRPr="0004686D">
        <w:rPr>
          <w:rFonts w:ascii="Adobe Caslon Pro" w:hAnsi="Adobe Caslon Pro" w:cs="Adobe Caslon Pro"/>
          <w:i/>
          <w:iCs/>
          <w:color w:val="000000"/>
          <w:spacing w:val="-1"/>
          <w:kern w:val="0"/>
          <w:sz w:val="23"/>
          <w:szCs w:val="23"/>
        </w:rPr>
        <w:t>now</w:t>
      </w:r>
      <w:r w:rsidRPr="0004686D">
        <w:rPr>
          <w:rFonts w:ascii="Adobe Caslon Pro" w:hAnsi="Adobe Caslon Pro" w:cs="Adobe Caslon Pro"/>
          <w:color w:val="000000"/>
          <w:spacing w:val="-1"/>
          <w:kern w:val="0"/>
          <w:sz w:val="23"/>
          <w:szCs w:val="23"/>
        </w:rPr>
        <w:t xml:space="preserve"> to force inflicted in the future. If </w:t>
      </w:r>
      <w:r w:rsidRPr="0004686D">
        <w:rPr>
          <w:rFonts w:ascii="Adobe Caslon Pro" w:hAnsi="Adobe Caslon Pro" w:cs="Adobe Caslon Pro"/>
          <w:i/>
          <w:iCs/>
          <w:color w:val="000000"/>
          <w:spacing w:val="-1"/>
          <w:kern w:val="0"/>
          <w:sz w:val="23"/>
          <w:szCs w:val="23"/>
        </w:rPr>
        <w:t>A</w:t>
      </w:r>
      <w:r w:rsidRPr="0004686D">
        <w:rPr>
          <w:rFonts w:ascii="Adobe Caslon Pro" w:hAnsi="Adobe Caslon Pro" w:cs="Adobe Caslon Pro"/>
          <w:color w:val="000000"/>
          <w:spacing w:val="-1"/>
          <w:kern w:val="0"/>
          <w:sz w:val="23"/>
          <w:szCs w:val="23"/>
        </w:rPr>
        <w:t xml:space="preserve"> later changes his mind and tries to run away, may </w:t>
      </w:r>
      <w:r w:rsidRPr="0004686D">
        <w:rPr>
          <w:rFonts w:ascii="Adobe Caslon Pro" w:hAnsi="Adobe Caslon Pro" w:cs="Adobe Caslon Pro"/>
          <w:i/>
          <w:iCs/>
          <w:color w:val="000000"/>
          <w:spacing w:val="-1"/>
          <w:kern w:val="0"/>
          <w:sz w:val="23"/>
          <w:szCs w:val="23"/>
        </w:rPr>
        <w:t>B</w:t>
      </w:r>
      <w:r w:rsidRPr="0004686D">
        <w:rPr>
          <w:rFonts w:ascii="Adobe Caslon Pro" w:hAnsi="Adobe Caslon Pro" w:cs="Adobe Caslon Pro"/>
          <w:color w:val="000000"/>
          <w:spacing w:val="-1"/>
          <w:kern w:val="0"/>
          <w:sz w:val="23"/>
          <w:szCs w:val="23"/>
        </w:rPr>
        <w:t xml:space="preserve"> at that point use force against </w:t>
      </w:r>
      <w:r w:rsidRPr="0004686D">
        <w:rPr>
          <w:rFonts w:ascii="Adobe Caslon Pro" w:hAnsi="Adobe Caslon Pro" w:cs="Adobe Caslon Pro"/>
          <w:i/>
          <w:iCs/>
          <w:color w:val="000000"/>
          <w:spacing w:val="-1"/>
          <w:kern w:val="0"/>
          <w:sz w:val="23"/>
          <w:szCs w:val="23"/>
        </w:rPr>
        <w:t>A</w:t>
      </w:r>
      <w:r w:rsidRPr="0004686D">
        <w:rPr>
          <w:rFonts w:ascii="Adobe Caslon Pro" w:hAnsi="Adobe Caslon Pro" w:cs="Adobe Caslon Pro"/>
          <w:color w:val="000000"/>
          <w:spacing w:val="-1"/>
          <w:kern w:val="0"/>
          <w:sz w:val="23"/>
          <w:szCs w:val="23"/>
        </w:rPr>
        <w:t>?</w:t>
      </w:r>
    </w:p>
    <w:p w14:paraId="72A482B1"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This is the crucial question. If the answer is yes, this means that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has no right to object and has effectively alienated his rights. I would say no, however, simply because there is no reason why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w:t>
      </w:r>
      <w:r w:rsidRPr="0004686D">
        <w:rPr>
          <w:rFonts w:ascii="Adobe Caslon Pro" w:hAnsi="Adobe Caslon Pro" w:cs="Adobe Caslon Pro"/>
          <w:i/>
          <w:iCs/>
          <w:color w:val="000000"/>
          <w:spacing w:val="-2"/>
          <w:kern w:val="0"/>
          <w:sz w:val="23"/>
          <w:szCs w:val="23"/>
        </w:rPr>
        <w:t>cannot</w:t>
      </w:r>
      <w:r w:rsidRPr="0004686D">
        <w:rPr>
          <w:rFonts w:ascii="Adobe Caslon Pro" w:hAnsi="Adobe Caslon Pro" w:cs="Adobe Caslon Pro"/>
          <w:color w:val="000000"/>
          <w:spacing w:val="-2"/>
          <w:kern w:val="0"/>
          <w:sz w:val="23"/>
          <w:szCs w:val="23"/>
        </w:rPr>
        <w:t xml:space="preserve"> withdraw his consent. Libertarianism does not say one cannot change one’s mind. When we ask about consent, it is the most recent expression of consent that is most relevant. Unlike the case of aggression, where the aggressor’s prior aggression estops him from objecting to the use of retaliatory force, </w:t>
      </w:r>
      <w:r w:rsidRPr="0004686D">
        <w:rPr>
          <w:rFonts w:ascii="Adobe Caslon Pro" w:hAnsi="Adobe Caslon Pro" w:cs="Adobe Caslon Pro"/>
          <w:i/>
          <w:iCs/>
          <w:color w:val="000000"/>
          <w:spacing w:val="-2"/>
          <w:kern w:val="0"/>
          <w:sz w:val="23"/>
          <w:szCs w:val="23"/>
        </w:rPr>
        <w:t>A has not committed aggression</w:t>
      </w:r>
      <w:r w:rsidRPr="0004686D">
        <w:rPr>
          <w:rFonts w:ascii="Adobe Caslon Pro" w:hAnsi="Adobe Caslon Pro" w:cs="Adobe Caslon Pro"/>
          <w:color w:val="000000"/>
          <w:spacing w:val="-2"/>
          <w:kern w:val="0"/>
          <w:sz w:val="23"/>
          <w:szCs w:val="23"/>
        </w:rPr>
        <w:t xml:space="preserve"> against </w:t>
      </w:r>
      <w:r w:rsidRPr="0004686D">
        <w:rPr>
          <w:rFonts w:ascii="Adobe Caslon Pro" w:hAnsi="Adobe Caslon Pro" w:cs="Adobe Caslon Pro"/>
          <w:i/>
          <w:iCs/>
          <w:color w:val="000000"/>
          <w:spacing w:val="-2"/>
          <w:kern w:val="0"/>
          <w:sz w:val="23"/>
          <w:szCs w:val="23"/>
        </w:rPr>
        <w:t>B</w:t>
      </w:r>
      <w:r w:rsidRPr="0004686D">
        <w:rPr>
          <w:rFonts w:ascii="Adobe Caslon Pro" w:hAnsi="Adobe Caslon Pro" w:cs="Adobe Caslon Pro"/>
          <w:color w:val="000000"/>
          <w:spacing w:val="-2"/>
          <w:kern w:val="0"/>
          <w:sz w:val="23"/>
          <w:szCs w:val="23"/>
        </w:rPr>
        <w:t xml:space="preserve">. </w:t>
      </w:r>
      <w:proofErr w:type="gramStart"/>
      <w:r w:rsidRPr="0004686D">
        <w:rPr>
          <w:rFonts w:ascii="Adobe Caslon Pro" w:hAnsi="Adobe Caslon Pro" w:cs="Adobe Caslon Pro"/>
          <w:color w:val="000000"/>
          <w:spacing w:val="-2"/>
          <w:kern w:val="0"/>
          <w:sz w:val="23"/>
          <w:szCs w:val="23"/>
        </w:rPr>
        <w:t>Thus</w:t>
      </w:r>
      <w:proofErr w:type="gramEnd"/>
      <w:r w:rsidRPr="0004686D">
        <w:rPr>
          <w:rFonts w:ascii="Adobe Caslon Pro" w:hAnsi="Adobe Caslon Pro" w:cs="Adobe Caslon Pro"/>
          <w:color w:val="000000"/>
          <w:spacing w:val="-2"/>
          <w:kern w:val="0"/>
          <w:sz w:val="23"/>
          <w:szCs w:val="23"/>
        </w:rPr>
        <w:t xml:space="preserve"> it is not inconsistent for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to later object to the use of force. All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did previously was utter words to </w:t>
      </w:r>
      <w:r w:rsidRPr="0004686D">
        <w:rPr>
          <w:rFonts w:ascii="Adobe Caslon Pro" w:hAnsi="Adobe Caslon Pro" w:cs="Adobe Caslon Pro"/>
          <w:i/>
          <w:iCs/>
          <w:color w:val="000000"/>
          <w:spacing w:val="-2"/>
          <w:kern w:val="0"/>
          <w:sz w:val="23"/>
          <w:szCs w:val="23"/>
        </w:rPr>
        <w:t>B</w:t>
      </w:r>
      <w:r w:rsidRPr="0004686D">
        <w:rPr>
          <w:rFonts w:ascii="Adobe Caslon Pro" w:hAnsi="Adobe Caslon Pro" w:cs="Adobe Caslon Pro"/>
          <w:color w:val="000000"/>
          <w:spacing w:val="-2"/>
          <w:kern w:val="0"/>
          <w:sz w:val="23"/>
          <w:szCs w:val="23"/>
        </w:rPr>
        <w:t xml:space="preserve"> such as “I agree to be your slave.” But this does not aggress against </w:t>
      </w:r>
      <w:r w:rsidRPr="0004686D">
        <w:rPr>
          <w:rFonts w:ascii="Adobe Caslon Pro" w:hAnsi="Adobe Caslon Pro" w:cs="Adobe Caslon Pro"/>
          <w:i/>
          <w:iCs/>
          <w:color w:val="000000"/>
          <w:spacing w:val="-2"/>
          <w:kern w:val="0"/>
          <w:sz w:val="23"/>
          <w:szCs w:val="23"/>
        </w:rPr>
        <w:t>B</w:t>
      </w:r>
      <w:r w:rsidRPr="0004686D">
        <w:rPr>
          <w:rFonts w:ascii="Adobe Caslon Pro" w:hAnsi="Adobe Caslon Pro" w:cs="Adobe Caslon Pro"/>
          <w:color w:val="000000"/>
          <w:spacing w:val="-2"/>
          <w:kern w:val="0"/>
          <w:sz w:val="23"/>
          <w:szCs w:val="23"/>
        </w:rPr>
        <w:t xml:space="preserve"> at all, any more than does uttering the insult, “You are ugly.” Words per se do not aggress, which is one reason there is a (derivative, not independent) “right” to free speech. In a nutshell, a would-be slave-owner must be entitled to use force against the would-be slave </w:t>
      </w:r>
      <w:proofErr w:type="gramStart"/>
      <w:r w:rsidRPr="0004686D">
        <w:rPr>
          <w:rFonts w:ascii="Adobe Caslon Pro" w:hAnsi="Adobe Caslon Pro" w:cs="Adobe Caslon Pro"/>
          <w:color w:val="000000"/>
          <w:spacing w:val="-2"/>
          <w:kern w:val="0"/>
          <w:sz w:val="23"/>
          <w:szCs w:val="23"/>
        </w:rPr>
        <w:t>in order for</w:t>
      </w:r>
      <w:proofErr w:type="gramEnd"/>
      <w:r w:rsidRPr="0004686D">
        <w:rPr>
          <w:rFonts w:ascii="Adobe Caslon Pro" w:hAnsi="Adobe Caslon Pro" w:cs="Adobe Caslon Pro"/>
          <w:color w:val="000000"/>
          <w:spacing w:val="-2"/>
          <w:kern w:val="0"/>
          <w:sz w:val="23"/>
          <w:szCs w:val="23"/>
        </w:rPr>
        <w:t xml:space="preserve"> the slavery agreement to be enforceable and for rights to be alienated in this manner; </w:t>
      </w:r>
      <w:r w:rsidRPr="0004686D">
        <w:rPr>
          <w:rFonts w:ascii="Adobe Caslon Pro" w:hAnsi="Adobe Caslon Pro" w:cs="Adobe Caslon Pro"/>
          <w:color w:val="000000"/>
          <w:spacing w:val="-3"/>
          <w:kern w:val="0"/>
          <w:sz w:val="23"/>
          <w:szCs w:val="23"/>
        </w:rPr>
        <w:t>but the would-be slave has simply not initiated force against the would-be</w:t>
      </w:r>
      <w:r w:rsidRPr="0004686D">
        <w:rPr>
          <w:rFonts w:ascii="Adobe Caslon Pro" w:hAnsi="Adobe Caslon Pro" w:cs="Adobe Caslon Pro"/>
          <w:color w:val="000000"/>
          <w:spacing w:val="-2"/>
          <w:kern w:val="0"/>
          <w:sz w:val="23"/>
          <w:szCs w:val="23"/>
        </w:rPr>
        <w:t xml:space="preserve"> slave-owner. The would-be slave-owner is thus </w:t>
      </w:r>
      <w:r w:rsidRPr="0004686D">
        <w:rPr>
          <w:rFonts w:ascii="Adobe Caslon Pro" w:hAnsi="Adobe Caslon Pro" w:cs="Adobe Caslon Pro"/>
          <w:i/>
          <w:iCs/>
          <w:color w:val="000000"/>
          <w:spacing w:val="-2"/>
          <w:kern w:val="0"/>
          <w:sz w:val="23"/>
          <w:szCs w:val="23"/>
        </w:rPr>
        <w:t>not</w:t>
      </w:r>
      <w:r w:rsidRPr="0004686D">
        <w:rPr>
          <w:rFonts w:ascii="Adobe Caslon Pro" w:hAnsi="Adobe Caslon Pro" w:cs="Adobe Caslon Pro"/>
          <w:color w:val="000000"/>
          <w:spacing w:val="-2"/>
          <w:kern w:val="0"/>
          <w:sz w:val="23"/>
          <w:szCs w:val="23"/>
        </w:rPr>
        <w:t xml:space="preserve"> entitled to use force against the slave; hence no rights were alienated.</w:t>
      </w:r>
      <w:r w:rsidRPr="0004686D">
        <w:rPr>
          <w:rFonts w:ascii="Adobe Caslon Pro" w:hAnsi="Adobe Caslon Pro" w:cs="Adobe Caslon Pro"/>
          <w:color w:val="000000"/>
          <w:spacing w:val="-2"/>
          <w:kern w:val="0"/>
          <w:position w:val="2"/>
          <w:sz w:val="20"/>
          <w:szCs w:val="20"/>
          <w:vertAlign w:val="superscript"/>
        </w:rPr>
        <w:footnoteReference w:id="45"/>
      </w:r>
      <w:r w:rsidRPr="0004686D">
        <w:rPr>
          <w:rFonts w:ascii="Adobe Caslon Pro" w:hAnsi="Adobe Caslon Pro" w:cs="Adobe Caslon Pro"/>
          <w:color w:val="000000"/>
          <w:spacing w:val="-2"/>
          <w:kern w:val="0"/>
          <w:sz w:val="23"/>
          <w:szCs w:val="23"/>
        </w:rPr>
        <w:t xml:space="preserve"> </w:t>
      </w:r>
    </w:p>
    <w:p w14:paraId="2C36A4E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Thus, I conclude that a slavery agreement is not enforceable. Rights are not completely inalienable, as Smith contends, for aggression can alienate rights. We must reject the strong view of inalienability. However, rights are inalienable in the limited (and more conventional) sense that one cannot irrevocably grant consent to aggression in the future by way of a mere promise or agreement. This is not because of any impossibility in alienating one’s will, but because a promisor has not committed aggression. One retains the right to change one’s mind, absent special circumstances.</w:t>
      </w:r>
      <w:r w:rsidRPr="0004686D">
        <w:rPr>
          <w:rFonts w:ascii="Adobe Caslon Pro" w:hAnsi="Adobe Caslon Pro" w:cs="Adobe Caslon Pro"/>
          <w:color w:val="000000"/>
          <w:spacing w:val="-2"/>
          <w:kern w:val="0"/>
          <w:position w:val="2"/>
          <w:sz w:val="20"/>
          <w:szCs w:val="20"/>
          <w:vertAlign w:val="superscript"/>
        </w:rPr>
        <w:footnoteReference w:id="46"/>
      </w:r>
      <w:r w:rsidRPr="0004686D">
        <w:rPr>
          <w:rFonts w:ascii="Adobe Caslon Pro" w:hAnsi="Adobe Caslon Pro" w:cs="Adobe Caslon Pro"/>
          <w:color w:val="000000"/>
          <w:spacing w:val="-2"/>
          <w:kern w:val="0"/>
          <w:sz w:val="23"/>
          <w:szCs w:val="23"/>
        </w:rPr>
        <w:t xml:space="preserve"> The limited view of inalienability seems to be the most sensible.</w:t>
      </w:r>
    </w:p>
    <w:p w14:paraId="4762163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right to alienate external resources is not limited, however, because of crucial differences between rights pertaining to one’s body and rights of ownership in </w:t>
      </w:r>
      <w:proofErr w:type="gramStart"/>
      <w:r w:rsidRPr="0004686D">
        <w:rPr>
          <w:rFonts w:ascii="Adobe Caslon Pro" w:hAnsi="Adobe Caslon Pro" w:cs="Adobe Caslon Pro"/>
          <w:color w:val="000000"/>
          <w:spacing w:val="1"/>
          <w:kern w:val="0"/>
          <w:sz w:val="23"/>
          <w:szCs w:val="23"/>
        </w:rPr>
        <w:t>previously-unowned</w:t>
      </w:r>
      <w:proofErr w:type="gramEnd"/>
      <w:r w:rsidRPr="0004686D">
        <w:rPr>
          <w:rFonts w:ascii="Adobe Caslon Pro" w:hAnsi="Adobe Caslon Pro" w:cs="Adobe Caslon Pro"/>
          <w:color w:val="000000"/>
          <w:spacing w:val="1"/>
          <w:kern w:val="0"/>
          <w:sz w:val="23"/>
          <w:szCs w:val="23"/>
        </w:rPr>
        <w:t xml:space="preserve">, homesteaded resources. The right to appropriate external resources is derivative of and distinct from the basic right against non-aggression (self-ownership). External scarce resources are appropriated and </w:t>
      </w:r>
      <w:proofErr w:type="gramStart"/>
      <w:r w:rsidRPr="0004686D">
        <w:rPr>
          <w:rFonts w:ascii="Adobe Caslon Pro" w:hAnsi="Adobe Caslon Pro" w:cs="Adobe Caslon Pro"/>
          <w:color w:val="000000"/>
          <w:spacing w:val="1"/>
          <w:kern w:val="0"/>
          <w:sz w:val="23"/>
          <w:szCs w:val="23"/>
        </w:rPr>
        <w:t>acquired, and</w:t>
      </w:r>
      <w:proofErr w:type="gramEnd"/>
      <w:r w:rsidRPr="0004686D">
        <w:rPr>
          <w:rFonts w:ascii="Adobe Caslon Pro" w:hAnsi="Adobe Caslon Pro" w:cs="Adobe Caslon Pro"/>
          <w:color w:val="000000"/>
          <w:spacing w:val="1"/>
          <w:kern w:val="0"/>
          <w:sz w:val="23"/>
          <w:szCs w:val="23"/>
        </w:rPr>
        <w:t xml:space="preserve"> held by intention (it is this that distinguishes ownership from possession),</w:t>
      </w:r>
      <w:r w:rsidRPr="0004686D">
        <w:rPr>
          <w:rFonts w:ascii="Adobe Caslon Pro" w:hAnsi="Adobe Caslon Pro" w:cs="Adobe Caslon Pro"/>
          <w:color w:val="000000"/>
          <w:spacing w:val="1"/>
          <w:kern w:val="0"/>
          <w:position w:val="2"/>
          <w:sz w:val="20"/>
          <w:szCs w:val="20"/>
          <w:vertAlign w:val="superscript"/>
        </w:rPr>
        <w:footnoteReference w:id="47"/>
      </w:r>
      <w:r w:rsidRPr="0004686D">
        <w:rPr>
          <w:rFonts w:ascii="Adobe Caslon Pro" w:hAnsi="Adobe Caslon Pro" w:cs="Adobe Caslon Pro"/>
          <w:color w:val="000000"/>
          <w:spacing w:val="1"/>
          <w:kern w:val="0"/>
          <w:sz w:val="23"/>
          <w:szCs w:val="23"/>
        </w:rPr>
        <w:t xml:space="preserve"> and thus can be abandoned or alienated by a sufficient expression of intention, e.g., a </w:t>
      </w:r>
      <w:r w:rsidRPr="0004686D">
        <w:rPr>
          <w:rFonts w:ascii="Adobe Caslon Pro" w:hAnsi="Adobe Caslon Pro" w:cs="Adobe Caslon Pro"/>
          <w:color w:val="000000"/>
          <w:spacing w:val="1"/>
          <w:kern w:val="0"/>
          <w:sz w:val="23"/>
          <w:szCs w:val="23"/>
        </w:rPr>
        <w:lastRenderedPageBreak/>
        <w:t>contract or act of abandonment. For this reason, under the libertarian title-transfer theory of contract, one can alienate particular property titles, i.e., titles to external (</w:t>
      </w:r>
      <w:proofErr w:type="spellStart"/>
      <w:r w:rsidRPr="0004686D">
        <w:rPr>
          <w:rFonts w:ascii="Adobe Caslon Pro" w:hAnsi="Adobe Caslon Pro" w:cs="Adobe Caslon Pro"/>
          <w:color w:val="000000"/>
          <w:spacing w:val="1"/>
          <w:kern w:val="0"/>
          <w:sz w:val="23"/>
          <w:szCs w:val="23"/>
        </w:rPr>
        <w:t>homesteadable</w:t>
      </w:r>
      <w:proofErr w:type="spellEnd"/>
      <w:r w:rsidRPr="0004686D">
        <w:rPr>
          <w:rFonts w:ascii="Adobe Caslon Pro" w:hAnsi="Adobe Caslon Pro" w:cs="Adobe Caslon Pro"/>
          <w:color w:val="000000"/>
          <w:spacing w:val="1"/>
          <w:kern w:val="0"/>
          <w:sz w:val="23"/>
          <w:szCs w:val="23"/>
        </w:rPr>
        <w:t>) scarce resources. In this sense there is a distinction between title to property, which is alienable by mere contract; and rights related to one’s body, which are not alienable by promise or contract (speech act) but are alienable by acts of aggression.</w:t>
      </w:r>
      <w:r w:rsidRPr="0004686D">
        <w:rPr>
          <w:rFonts w:ascii="Adobe Caslon Pro" w:hAnsi="Adobe Caslon Pro" w:cs="Adobe Caslon Pro"/>
          <w:color w:val="000000"/>
          <w:spacing w:val="1"/>
          <w:kern w:val="0"/>
          <w:position w:val="2"/>
          <w:sz w:val="20"/>
          <w:szCs w:val="20"/>
          <w:vertAlign w:val="superscript"/>
        </w:rPr>
        <w:footnoteReference w:id="48"/>
      </w:r>
    </w:p>
    <w:p w14:paraId="18FA9745"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To summarize, then, one may object to certain acts of aggression; or one may grant consent to allow the otherwise-prohibited action to take place. The right against aggression may be alienated, but only by </w:t>
      </w:r>
      <w:r w:rsidRPr="0004686D">
        <w:rPr>
          <w:rFonts w:ascii="Adobe Caslon Pro" w:hAnsi="Adobe Caslon Pro" w:cs="Adobe Caslon Pro"/>
          <w:i/>
          <w:iCs/>
          <w:color w:val="000000"/>
          <w:spacing w:val="-2"/>
          <w:kern w:val="0"/>
          <w:sz w:val="23"/>
          <w:szCs w:val="23"/>
        </w:rPr>
        <w:t>irrevocably granting</w:t>
      </w:r>
      <w:r w:rsidRPr="0004686D">
        <w:rPr>
          <w:rFonts w:ascii="Adobe Caslon Pro" w:hAnsi="Adobe Caslon Pro" w:cs="Adobe Caslon Pro"/>
          <w:color w:val="000000"/>
          <w:spacing w:val="-2"/>
          <w:kern w:val="0"/>
          <w:sz w:val="23"/>
          <w:szCs w:val="23"/>
        </w:rPr>
        <w:t xml:space="preserve"> consent, which may be done only by committing an act of aggression. A non-violent action such as a promise or agreement to do something with one’s body, on the other hand, does not alienate rights, because the consent may be withdrawn at any time in the future, with certain exceptions. This is because a promise now to consent in the future to violence does not commit aggression against the promisee, and because a future change of mind revokes the consent.</w:t>
      </w:r>
    </w:p>
    <w:p w14:paraId="6089E564"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CONCLUSION</w:t>
      </w:r>
    </w:p>
    <w:p w14:paraId="2532176E"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If Smith is right that even a murderer has a right to not be killed, then it is wrongful aggression to kill the aggressor, just as it is wrongful aggression for a murderer to kill the victim. Then it is no longer the initiation of force that is impermissible; it is force in general, even retaliatory, defensive, or restitutive force. Without a right to respond to aggression, the non-aggression principle goes out the window, as does the distinction between aggressor and victim. Smith’s defense of the strong version of inalienable rights thus undermines what is surely the heart of libertarianism, the non-aggression principle.</w:t>
      </w:r>
    </w:p>
    <w:p w14:paraId="0DB9923C"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w:hAnsi="Le Monde Livre Cla Std" w:cs="Le Monde Livre Cla Std"/>
          <w:b/>
          <w:bCs/>
          <w:caps/>
          <w:color w:val="000000"/>
          <w:spacing w:val="4"/>
          <w:kern w:val="0"/>
        </w:rPr>
      </w:pPr>
    </w:p>
    <w:p w14:paraId="232BAEE9"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w:hAnsi="Le Monde Livre Cla Std" w:cs="Le Monde Livre Cla Std"/>
          <w:b/>
          <w:bCs/>
          <w:caps/>
          <w:color w:val="000000"/>
          <w:spacing w:val="4"/>
          <w:kern w:val="0"/>
        </w:rPr>
        <w:t>APPENDIX</w:t>
      </w:r>
      <w:r w:rsidRPr="0004686D">
        <w:rPr>
          <w:rFonts w:ascii="Le Monde Livre Cla Std Book" w:hAnsi="Le Monde Livre Cla Std Book" w:cs="Le Monde Livre Cla Std Book"/>
          <w:caps/>
          <w:color w:val="000000"/>
          <w:spacing w:val="4"/>
          <w:kern w:val="0"/>
        </w:rPr>
        <w:br/>
        <w:t>LEFEVRE’S PACIFISM</w:t>
      </w:r>
    </w:p>
    <w:p w14:paraId="5DE1F370"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As noted above, the material here was originally intended to appear in footnote 21, above. Due to its length, I include this material in this appendix.</w:t>
      </w:r>
    </w:p>
    <w:p w14:paraId="404504E0"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As noted in the text, the consistent pacifist must condemn all uses of force, even defensive and restitutive, and that libertarian Robert LeFevre has been accused of holding such views. However, as alluded to above, it is not clear that LeFevre took his pacifism so far. As LeFevre writes:</w:t>
      </w:r>
    </w:p>
    <w:p w14:paraId="32D8E283"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i/>
          <w:iCs/>
          <w:color w:val="000000"/>
          <w:kern w:val="0"/>
          <w:sz w:val="20"/>
          <w:szCs w:val="20"/>
        </w:rPr>
        <w:lastRenderedPageBreak/>
        <w:t>Protection</w:t>
      </w:r>
      <w:r w:rsidRPr="0004686D">
        <w:rPr>
          <w:rFonts w:ascii="Adobe Caslon Pro" w:hAnsi="Adobe Caslon Pro" w:cs="Adobe Caslon Pro"/>
          <w:color w:val="000000"/>
          <w:kern w:val="0"/>
          <w:sz w:val="20"/>
          <w:szCs w:val="20"/>
        </w:rPr>
        <w:t xml:space="preserve"> is what we do </w:t>
      </w:r>
      <w:r w:rsidRPr="0004686D">
        <w:rPr>
          <w:rFonts w:ascii="Adobe Caslon Pro" w:hAnsi="Adobe Caslon Pro" w:cs="Adobe Caslon Pro"/>
          <w:i/>
          <w:iCs/>
          <w:color w:val="000000"/>
          <w:kern w:val="0"/>
          <w:sz w:val="20"/>
          <w:szCs w:val="20"/>
        </w:rPr>
        <w:t>prior</w:t>
      </w:r>
      <w:r w:rsidRPr="0004686D">
        <w:rPr>
          <w:rFonts w:ascii="Adobe Caslon Pro" w:hAnsi="Adobe Caslon Pro" w:cs="Adobe Caslon Pro"/>
          <w:color w:val="000000"/>
          <w:kern w:val="0"/>
          <w:sz w:val="20"/>
          <w:szCs w:val="20"/>
        </w:rPr>
        <w:t xml:space="preserve"> to the commission of a criminal act which does, in fact, </w:t>
      </w:r>
      <w:r w:rsidRPr="0004686D">
        <w:rPr>
          <w:rFonts w:ascii="Adobe Caslon Pro" w:hAnsi="Adobe Caslon Pro" w:cs="Adobe Caslon Pro"/>
          <w:i/>
          <w:iCs/>
          <w:color w:val="000000"/>
          <w:kern w:val="0"/>
          <w:sz w:val="20"/>
          <w:szCs w:val="20"/>
        </w:rPr>
        <w:t>prevent</w:t>
      </w:r>
      <w:r w:rsidRPr="0004686D">
        <w:rPr>
          <w:rFonts w:ascii="Adobe Caslon Pro" w:hAnsi="Adobe Caslon Pro" w:cs="Adobe Caslon Pro"/>
          <w:color w:val="000000"/>
          <w:kern w:val="0"/>
          <w:sz w:val="20"/>
          <w:szCs w:val="20"/>
        </w:rPr>
        <w:t xml:space="preserve"> such an act from occurring.… </w:t>
      </w:r>
    </w:p>
    <w:p w14:paraId="45768CF6"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 xml:space="preserve">Protection, </w:t>
      </w:r>
      <w:proofErr w:type="gramStart"/>
      <w:r w:rsidRPr="0004686D">
        <w:rPr>
          <w:rFonts w:ascii="Adobe Caslon Pro" w:hAnsi="Adobe Caslon Pro" w:cs="Adobe Caslon Pro"/>
          <w:color w:val="000000"/>
          <w:kern w:val="0"/>
          <w:sz w:val="20"/>
          <w:szCs w:val="20"/>
        </w:rPr>
        <w:t>because of the fact that</w:t>
      </w:r>
      <w:proofErr w:type="gramEnd"/>
      <w:r w:rsidRPr="0004686D">
        <w:rPr>
          <w:rFonts w:ascii="Adobe Caslon Pro" w:hAnsi="Adobe Caslon Pro" w:cs="Adobe Caslon Pro"/>
          <w:color w:val="000000"/>
          <w:kern w:val="0"/>
          <w:sz w:val="20"/>
          <w:szCs w:val="20"/>
        </w:rPr>
        <w:t xml:space="preserve"> it prevents a trespass from occurring, is </w:t>
      </w:r>
      <w:r w:rsidRPr="0004686D">
        <w:rPr>
          <w:rFonts w:ascii="Adobe Caslon Pro" w:hAnsi="Adobe Caslon Pro" w:cs="Adobe Caslon Pro"/>
          <w:i/>
          <w:iCs/>
          <w:color w:val="000000"/>
          <w:kern w:val="0"/>
          <w:sz w:val="20"/>
          <w:szCs w:val="20"/>
        </w:rPr>
        <w:t>always moral</w:t>
      </w:r>
      <w:r w:rsidRPr="0004686D">
        <w:rPr>
          <w:rFonts w:ascii="Adobe Caslon Pro" w:hAnsi="Adobe Caslon Pro" w:cs="Adobe Caslon Pro"/>
          <w:color w:val="000000"/>
          <w:kern w:val="0"/>
          <w:sz w:val="20"/>
          <w:szCs w:val="20"/>
        </w:rPr>
        <w:t xml:space="preserve">.… </w:t>
      </w:r>
    </w:p>
    <w:p w14:paraId="700A9D3E"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i/>
          <w:iCs/>
          <w:color w:val="000000"/>
          <w:kern w:val="0"/>
          <w:sz w:val="20"/>
          <w:szCs w:val="20"/>
        </w:rPr>
        <w:t>Defense</w:t>
      </w:r>
      <w:r w:rsidRPr="0004686D">
        <w:rPr>
          <w:rFonts w:ascii="Adobe Caslon Pro" w:hAnsi="Adobe Caslon Pro" w:cs="Adobe Caslon Pro"/>
          <w:color w:val="000000"/>
          <w:kern w:val="0"/>
          <w:sz w:val="20"/>
          <w:szCs w:val="20"/>
        </w:rPr>
        <w:t xml:space="preserve">, on the other hand, is what we do during an attack by someone else. It is what takes place in what is called the “hot encounter.” You are walking down the street and a man comes up to you, sticks a gun in your face, and demands your money. Now you are face to face with an attacker. You cannot </w:t>
      </w:r>
      <w:r w:rsidRPr="0004686D">
        <w:rPr>
          <w:rFonts w:ascii="Adobe Caslon Pro" w:hAnsi="Adobe Caslon Pro" w:cs="Adobe Caslon Pro"/>
          <w:i/>
          <w:iCs/>
          <w:color w:val="000000"/>
          <w:kern w:val="0"/>
          <w:sz w:val="20"/>
          <w:szCs w:val="20"/>
        </w:rPr>
        <w:t>protect</w:t>
      </w:r>
      <w:r w:rsidRPr="0004686D">
        <w:rPr>
          <w:rFonts w:ascii="Adobe Caslon Pro" w:hAnsi="Adobe Caslon Pro" w:cs="Adobe Caslon Pro"/>
          <w:color w:val="000000"/>
          <w:kern w:val="0"/>
          <w:sz w:val="20"/>
          <w:szCs w:val="20"/>
        </w:rPr>
        <w:t xml:space="preserve"> yourself (i.e., prevent the attack); it is too late for that. Now you must defend yourself (i.e., ward off the attack).</w:t>
      </w:r>
    </w:p>
    <w:p w14:paraId="623F5898"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04686D">
        <w:rPr>
          <w:rFonts w:ascii="Adobe Caslon Pro" w:hAnsi="Adobe Caslon Pro" w:cs="Adobe Caslon Pro"/>
          <w:color w:val="000000"/>
          <w:kern w:val="0"/>
          <w:sz w:val="20"/>
          <w:szCs w:val="20"/>
        </w:rPr>
        <w:t>As long as</w:t>
      </w:r>
      <w:proofErr w:type="gramEnd"/>
      <w:r w:rsidRPr="0004686D">
        <w:rPr>
          <w:rFonts w:ascii="Adobe Caslon Pro" w:hAnsi="Adobe Caslon Pro" w:cs="Adobe Caslon Pro"/>
          <w:color w:val="000000"/>
          <w:kern w:val="0"/>
          <w:sz w:val="20"/>
          <w:szCs w:val="20"/>
        </w:rPr>
        <w:t xml:space="preserve"> your actions are for the sole purpose of </w:t>
      </w:r>
      <w:r w:rsidRPr="0004686D">
        <w:rPr>
          <w:rFonts w:ascii="Adobe Caslon Pro" w:hAnsi="Adobe Caslon Pro" w:cs="Adobe Caslon Pro"/>
          <w:i/>
          <w:iCs/>
          <w:color w:val="000000"/>
          <w:kern w:val="0"/>
          <w:sz w:val="20"/>
          <w:szCs w:val="20"/>
        </w:rPr>
        <w:t>warding off</w:t>
      </w:r>
      <w:r w:rsidRPr="0004686D">
        <w:rPr>
          <w:rFonts w:ascii="Adobe Caslon Pro" w:hAnsi="Adobe Caslon Pro" w:cs="Adobe Caslon Pro"/>
          <w:color w:val="000000"/>
          <w:kern w:val="0"/>
          <w:sz w:val="20"/>
          <w:szCs w:val="20"/>
        </w:rPr>
        <w:t xml:space="preserve"> the attack, you would not be guilty of an immoral act yourself. But if your actions serve the purpose of </w:t>
      </w:r>
      <w:r w:rsidRPr="0004686D">
        <w:rPr>
          <w:rFonts w:ascii="Adobe Caslon Pro" w:hAnsi="Adobe Caslon Pro" w:cs="Adobe Caslon Pro"/>
          <w:i/>
          <w:iCs/>
          <w:color w:val="000000"/>
          <w:kern w:val="0"/>
          <w:sz w:val="20"/>
          <w:szCs w:val="20"/>
        </w:rPr>
        <w:t>attacking</w:t>
      </w:r>
      <w:r w:rsidRPr="0004686D">
        <w:rPr>
          <w:rFonts w:ascii="Adobe Caslon Pro" w:hAnsi="Adobe Caslon Pro" w:cs="Adobe Caslon Pro"/>
          <w:color w:val="000000"/>
          <w:kern w:val="0"/>
          <w:sz w:val="20"/>
          <w:szCs w:val="20"/>
        </w:rPr>
        <w:t xml:space="preserve"> the criminal, you are guilty of a trespass even though the other man initiated the attack.… </w:t>
      </w:r>
    </w:p>
    <w:p w14:paraId="3336AFD6"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04686D">
        <w:rPr>
          <w:rFonts w:ascii="Adobe Caslon Pro" w:hAnsi="Adobe Caslon Pro" w:cs="Adobe Caslon Pro"/>
          <w:color w:val="000000"/>
          <w:kern w:val="0"/>
          <w:sz w:val="20"/>
          <w:szCs w:val="20"/>
        </w:rPr>
        <w:t>Suppose,</w:t>
      </w:r>
      <w:proofErr w:type="gramEnd"/>
      <w:r w:rsidRPr="0004686D">
        <w:rPr>
          <w:rFonts w:ascii="Adobe Caslon Pro" w:hAnsi="Adobe Caslon Pro" w:cs="Adobe Caslon Pro"/>
          <w:color w:val="000000"/>
          <w:kern w:val="0"/>
          <w:sz w:val="20"/>
          <w:szCs w:val="20"/>
        </w:rPr>
        <w:t xml:space="preserve"> in the situation outlined above, the other man takes a swing at you. Clearly, you can raise your arm to ward off his blow. This is </w:t>
      </w:r>
      <w:r w:rsidRPr="0004686D">
        <w:rPr>
          <w:rFonts w:ascii="Adobe Caslon Pro" w:hAnsi="Adobe Caslon Pro" w:cs="Adobe Caslon Pro"/>
          <w:i/>
          <w:iCs/>
          <w:color w:val="000000"/>
          <w:kern w:val="0"/>
          <w:sz w:val="20"/>
          <w:szCs w:val="20"/>
        </w:rPr>
        <w:t>defense</w:t>
      </w:r>
      <w:r w:rsidRPr="0004686D">
        <w:rPr>
          <w:rFonts w:ascii="Adobe Caslon Pro" w:hAnsi="Adobe Caslon Pro" w:cs="Adobe Caslon Pro"/>
          <w:color w:val="000000"/>
          <w:kern w:val="0"/>
          <w:sz w:val="20"/>
          <w:szCs w:val="20"/>
        </w:rPr>
        <w:t xml:space="preserve">. If, however, you then bring your arm down upon his head and begin attacking him, you are no longer defending </w:t>
      </w:r>
      <w:proofErr w:type="gramStart"/>
      <w:r w:rsidRPr="0004686D">
        <w:rPr>
          <w:rFonts w:ascii="Adobe Caslon Pro" w:hAnsi="Adobe Caslon Pro" w:cs="Adobe Caslon Pro"/>
          <w:color w:val="000000"/>
          <w:kern w:val="0"/>
          <w:sz w:val="20"/>
          <w:szCs w:val="20"/>
        </w:rPr>
        <w:t>yourself, but</w:t>
      </w:r>
      <w:proofErr w:type="gramEnd"/>
      <w:r w:rsidRPr="0004686D">
        <w:rPr>
          <w:rFonts w:ascii="Adobe Caslon Pro" w:hAnsi="Adobe Caslon Pro" w:cs="Adobe Caslon Pro"/>
          <w:color w:val="000000"/>
          <w:kern w:val="0"/>
          <w:sz w:val="20"/>
          <w:szCs w:val="20"/>
        </w:rPr>
        <w:t xml:space="preserve"> attacking the other man. This would be immoral, as it is a trespass upon the other person.</w:t>
      </w:r>
      <w:r w:rsidRPr="0004686D">
        <w:rPr>
          <w:rFonts w:ascii="Adobe Caslon Pro" w:hAnsi="Adobe Caslon Pro" w:cs="Adobe Caslon Pro"/>
          <w:color w:val="000000"/>
          <w:kern w:val="0"/>
          <w:position w:val="2"/>
          <w:sz w:val="20"/>
          <w:szCs w:val="20"/>
          <w:vertAlign w:val="superscript"/>
        </w:rPr>
        <w:footnoteReference w:id="49"/>
      </w:r>
      <w:r w:rsidRPr="0004686D">
        <w:rPr>
          <w:rFonts w:ascii="Adobe Caslon Pro" w:hAnsi="Adobe Caslon Pro" w:cs="Adobe Caslon Pro"/>
          <w:color w:val="000000"/>
          <w:kern w:val="0"/>
          <w:sz w:val="20"/>
          <w:szCs w:val="20"/>
        </w:rPr>
        <w:t xml:space="preserve"> </w:t>
      </w:r>
    </w:p>
    <w:p w14:paraId="54047ECE"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Although I disagree with this pacifist view, it seems some libertarians mischaracterize LeFevre as opposing violence in self-defense. E.g., writes Rothbard:</w:t>
      </w:r>
    </w:p>
    <w:p w14:paraId="4B818B6A" w14:textId="061A746C"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 xml:space="preserve">If every man has the absolute right to his justly-held property </w:t>
      </w:r>
      <w:proofErr w:type="gramStart"/>
      <w:r w:rsidRPr="0004686D">
        <w:rPr>
          <w:rFonts w:ascii="Adobe Caslon Pro" w:hAnsi="Adobe Caslon Pro" w:cs="Adobe Caslon Pro"/>
          <w:color w:val="000000"/>
          <w:kern w:val="0"/>
          <w:sz w:val="20"/>
          <w:szCs w:val="20"/>
        </w:rPr>
        <w:t>it</w:t>
      </w:r>
      <w:proofErr w:type="gramEnd"/>
      <w:r w:rsidRPr="0004686D">
        <w:rPr>
          <w:rFonts w:ascii="Adobe Caslon Pro" w:hAnsi="Adobe Caslon Pro" w:cs="Adobe Caslon Pro"/>
          <w:color w:val="000000"/>
          <w:kern w:val="0"/>
          <w:sz w:val="20"/>
          <w:szCs w:val="20"/>
        </w:rPr>
        <w:t xml:space="preserve"> then follows that he has the right to </w:t>
      </w:r>
      <w:r w:rsidRPr="0004686D">
        <w:rPr>
          <w:rFonts w:ascii="Adobe Caslon Pro" w:hAnsi="Adobe Caslon Pro" w:cs="Adobe Caslon Pro"/>
          <w:i/>
          <w:iCs/>
          <w:color w:val="000000"/>
          <w:kern w:val="0"/>
          <w:sz w:val="20"/>
          <w:szCs w:val="20"/>
        </w:rPr>
        <w:t>keep</w:t>
      </w:r>
      <w:r w:rsidRPr="0004686D">
        <w:rPr>
          <w:rFonts w:ascii="Adobe Caslon Pro" w:hAnsi="Adobe Caslon Pro" w:cs="Adobe Caslon Pro"/>
          <w:color w:val="000000"/>
          <w:kern w:val="0"/>
          <w:sz w:val="20"/>
          <w:szCs w:val="20"/>
        </w:rPr>
        <w:t xml:space="preserve"> that property—to defend it by violence against violent invasion. Absolute pacifists who also assert their belief in property rights—such as Mr. Robert LeFevre—are caught in an inescapable inner contradiction: for if a man owns property and yet is denied the right to defend it against attack, then it is clear that a very important aspect of that ownership is being denied to him. To say that someone has the absolute right to a certain property but lacks the right to defend it against attack or invasion is also to say that he does </w:t>
      </w:r>
      <w:r w:rsidRPr="0004686D">
        <w:rPr>
          <w:rFonts w:ascii="Adobe Caslon Pro" w:hAnsi="Adobe Caslon Pro" w:cs="Adobe Caslon Pro"/>
          <w:i/>
          <w:iCs/>
          <w:color w:val="000000"/>
          <w:kern w:val="0"/>
          <w:sz w:val="20"/>
          <w:szCs w:val="20"/>
        </w:rPr>
        <w:t>not</w:t>
      </w:r>
      <w:r w:rsidRPr="0004686D">
        <w:rPr>
          <w:rFonts w:ascii="Adobe Caslon Pro" w:hAnsi="Adobe Caslon Pro" w:cs="Adobe Caslon Pro"/>
          <w:color w:val="000000"/>
          <w:kern w:val="0"/>
          <w:sz w:val="20"/>
          <w:szCs w:val="20"/>
        </w:rPr>
        <w:t xml:space="preserve"> have total right to that property.</w:t>
      </w:r>
      <w:r w:rsidRPr="0004686D">
        <w:rPr>
          <w:rFonts w:ascii="Adobe Caslon Pro" w:hAnsi="Adobe Caslon Pro" w:cs="Adobe Caslon Pro"/>
          <w:color w:val="000000"/>
          <w:kern w:val="0"/>
          <w:position w:val="2"/>
          <w:sz w:val="20"/>
          <w:szCs w:val="20"/>
          <w:vertAlign w:val="superscript"/>
        </w:rPr>
        <w:footnoteReference w:id="50"/>
      </w:r>
      <w:r w:rsidRPr="0004686D">
        <w:rPr>
          <w:rFonts w:ascii="Adobe Caslon Pro" w:hAnsi="Adobe Caslon Pro" w:cs="Adobe Caslon Pro"/>
          <w:color w:val="000000"/>
          <w:kern w:val="0"/>
          <w:sz w:val="20"/>
          <w:szCs w:val="20"/>
        </w:rPr>
        <w:t xml:space="preserve"> </w:t>
      </w:r>
    </w:p>
    <w:p w14:paraId="43CE2E89"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This implies LeFevre opposes the right to self-defense, to “defend … against attack.” See also the comments of Todd Lewis:</w:t>
      </w:r>
    </w:p>
    <w:p w14:paraId="57DC0D1E"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While most libertarians view the right to use lethal force to defend one’s body and physical property as naturally flowing from a strict reading of the Non-Aggression Principle, there is at least one little-known libertarian, the late great Robert LeFevre, who took an even more radical position on violence. Not only did he eschew the initiation of violence; he also eschewed the use of violence in one’s own self-defense.</w:t>
      </w:r>
      <w:r w:rsidRPr="0004686D">
        <w:rPr>
          <w:rFonts w:ascii="Adobe Caslon Pro" w:hAnsi="Adobe Caslon Pro" w:cs="Adobe Caslon Pro"/>
          <w:color w:val="000000"/>
          <w:kern w:val="0"/>
          <w:position w:val="2"/>
          <w:sz w:val="20"/>
          <w:szCs w:val="20"/>
          <w:vertAlign w:val="superscript"/>
        </w:rPr>
        <w:footnoteReference w:id="51"/>
      </w:r>
      <w:r w:rsidRPr="0004686D">
        <w:rPr>
          <w:rFonts w:ascii="Adobe Caslon Pro" w:hAnsi="Adobe Caslon Pro" w:cs="Adobe Caslon Pro"/>
          <w:color w:val="000000"/>
          <w:kern w:val="0"/>
          <w:sz w:val="20"/>
          <w:szCs w:val="20"/>
        </w:rPr>
        <w:t xml:space="preserve"> </w:t>
      </w:r>
    </w:p>
    <w:p w14:paraId="2FF01F73"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Neither Rothbard nor Lewis provide any citations to LeFevre to back up this characterization of his views on violence used in self-defense.</w:t>
      </w:r>
      <w:r w:rsidRPr="0004686D">
        <w:rPr>
          <w:rFonts w:ascii="Adobe Caslon Pro" w:hAnsi="Adobe Caslon Pro" w:cs="Adobe Caslon Pro"/>
          <w:color w:val="000000"/>
          <w:kern w:val="0"/>
          <w:position w:val="2"/>
          <w:sz w:val="20"/>
          <w:szCs w:val="20"/>
          <w:vertAlign w:val="superscript"/>
        </w:rPr>
        <w:footnoteReference w:id="52"/>
      </w:r>
      <w:r w:rsidRPr="0004686D">
        <w:rPr>
          <w:rFonts w:ascii="Adobe Caslon Pro" w:hAnsi="Adobe Caslon Pro" w:cs="Adobe Caslon Pro"/>
          <w:color w:val="000000"/>
          <w:kern w:val="0"/>
          <w:sz w:val="23"/>
          <w:szCs w:val="23"/>
        </w:rPr>
        <w:t xml:space="preserve"> Thus, in the absence of any further writing by LeFevre on this subject (which may well exist), I </w:t>
      </w:r>
      <w:proofErr w:type="gramStart"/>
      <w:r w:rsidRPr="0004686D">
        <w:rPr>
          <w:rFonts w:ascii="Adobe Caslon Pro" w:hAnsi="Adobe Caslon Pro" w:cs="Adobe Caslon Pro"/>
          <w:color w:val="000000"/>
          <w:kern w:val="0"/>
          <w:sz w:val="23"/>
          <w:szCs w:val="23"/>
        </w:rPr>
        <w:t>have to</w:t>
      </w:r>
      <w:proofErr w:type="gramEnd"/>
      <w:r w:rsidRPr="0004686D">
        <w:rPr>
          <w:rFonts w:ascii="Adobe Caslon Pro" w:hAnsi="Adobe Caslon Pro" w:cs="Adobe Caslon Pro"/>
          <w:color w:val="000000"/>
          <w:kern w:val="0"/>
          <w:sz w:val="23"/>
          <w:szCs w:val="23"/>
        </w:rPr>
        <w:t xml:space="preserve"> conclude that the accusations of him adopting such an extreme pacifist view are unfounded.</w:t>
      </w:r>
    </w:p>
    <w:p w14:paraId="4CE86CA9" w14:textId="77777777" w:rsidR="00867903" w:rsidRDefault="00867903"/>
    <w:sectPr w:rsidR="00867903" w:rsidSect="0004686D">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9AF1F" w14:textId="77777777" w:rsidR="00517711" w:rsidRDefault="00517711" w:rsidP="0004686D">
      <w:r>
        <w:separator/>
      </w:r>
    </w:p>
  </w:endnote>
  <w:endnote w:type="continuationSeparator" w:id="0">
    <w:p w14:paraId="01232004" w14:textId="77777777" w:rsidR="00517711" w:rsidRDefault="00517711" w:rsidP="00046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altName w:val="Cambria"/>
    <w:panose1 w:val="020B0604020202020204"/>
    <w:charset w:val="00"/>
    <w:family w:val="roman"/>
    <w:notTrueType/>
    <w:pitch w:val="variable"/>
    <w:sig w:usb0="800000AF" w:usb1="5000204A" w:usb2="00000000" w:usb3="00000000" w:csb0="0000008B" w:csb1="00000000"/>
  </w:font>
  <w:font w:name="Le Monde Livre Cla Std Book">
    <w:altName w:val="Cambria"/>
    <w:panose1 w:val="020B0604020202020204"/>
    <w:charset w:val="00"/>
    <w:family w:val="roman"/>
    <w:notTrueType/>
    <w:pitch w:val="variable"/>
    <w:sig w:usb0="800000AF" w:usb1="5000204A" w:usb2="00000000" w:usb3="00000000" w:csb0="0000008B" w:csb1="00000000"/>
  </w:font>
  <w:font w:name="Adobe Caslon Pro">
    <w:altName w:val="Adobe Caslon Pro"/>
    <w:panose1 w:val="0205050205050A020403"/>
    <w:charset w:val="00"/>
    <w:family w:val="roman"/>
    <w:notTrueType/>
    <w:pitch w:val="variable"/>
    <w:sig w:usb0="800000AF" w:usb1="5000205B" w:usb2="00000000" w:usb3="00000000" w:csb0="0000009B" w:csb1="00000000"/>
  </w:font>
  <w:font w:name="Le Monde Livre Cla Std">
    <w:altName w:val="Cambria"/>
    <w:panose1 w:val="020B0604020202020204"/>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CFC1B" w14:textId="77777777" w:rsidR="00517711" w:rsidRDefault="00517711" w:rsidP="0004686D">
      <w:r>
        <w:separator/>
      </w:r>
    </w:p>
  </w:footnote>
  <w:footnote w:type="continuationSeparator" w:id="0">
    <w:p w14:paraId="1919609B" w14:textId="77777777" w:rsidR="00517711" w:rsidRDefault="00517711" w:rsidP="0004686D">
      <w:r>
        <w:continuationSeparator/>
      </w:r>
    </w:p>
  </w:footnote>
  <w:footnote w:id="1">
    <w:p w14:paraId="29F359AB" w14:textId="77777777" w:rsidR="0004686D" w:rsidRDefault="0004686D" w:rsidP="0004686D">
      <w:pPr>
        <w:pStyle w:val="Footnotes"/>
        <w:rPr>
          <w:spacing w:val="-1"/>
        </w:rPr>
      </w:pPr>
      <w:r>
        <w:rPr>
          <w:vertAlign w:val="superscript"/>
        </w:rPr>
        <w:footnoteRef/>
      </w:r>
      <w:r>
        <w:rPr>
          <w:spacing w:val="1"/>
        </w:rPr>
        <w:t> </w:t>
      </w:r>
      <w:r>
        <w:rPr>
          <w:spacing w:val="1"/>
        </w:rPr>
        <w:t>See “A Libertarian Theory of Punishment and Rights” (</w:t>
      </w:r>
      <w:proofErr w:type="spellStart"/>
      <w:r>
        <w:rPr>
          <w:spacing w:val="1"/>
        </w:rPr>
        <w:t>ch.</w:t>
      </w:r>
      <w:proofErr w:type="spellEnd"/>
      <w:r>
        <w:rPr>
          <w:spacing w:val="1"/>
        </w:rPr>
        <w:t xml:space="preserve"> 5), n.84 and Kinsella, “Fraud, Restitution, and Retaliation: The Libertarian Approach,” </w:t>
      </w:r>
      <w:r>
        <w:rPr>
          <w:rStyle w:val="italic"/>
          <w:spacing w:val="1"/>
        </w:rPr>
        <w:t xml:space="preserve">StephanKinsella.com </w:t>
      </w:r>
      <w:r>
        <w:rPr>
          <w:spacing w:val="-1"/>
        </w:rPr>
        <w:t xml:space="preserve">(Feb. 3, 2009). For a related commentary related to disputes in general, see Kinsella, “On the Obligation to Negotiate, Compromise, and Arbitrate,” </w:t>
      </w:r>
      <w:r>
        <w:rPr>
          <w:rStyle w:val="italic"/>
          <w:spacing w:val="-1"/>
        </w:rPr>
        <w:t>StephanKinsella.com</w:t>
      </w:r>
      <w:r>
        <w:rPr>
          <w:spacing w:val="-1"/>
        </w:rPr>
        <w:t xml:space="preserve"> (April 6, 2023).</w:t>
      </w:r>
    </w:p>
    <w:p w14:paraId="77C3B542" w14:textId="77777777" w:rsidR="0004686D" w:rsidRDefault="0004686D" w:rsidP="0004686D">
      <w:pPr>
        <w:pStyle w:val="Footnotes"/>
      </w:pPr>
    </w:p>
  </w:footnote>
  <w:footnote w:id="2">
    <w:p w14:paraId="2A0D9166" w14:textId="77777777" w:rsidR="0004686D" w:rsidRDefault="0004686D" w:rsidP="0004686D">
      <w:pPr>
        <w:pStyle w:val="Footnotes"/>
      </w:pPr>
      <w:r>
        <w:rPr>
          <w:vertAlign w:val="superscript"/>
        </w:rPr>
        <w:footnoteRef/>
      </w:r>
      <w:r>
        <w:t> </w:t>
      </w:r>
      <w:r>
        <w:t>Smith, “A Killer’s Right to Life,” p. 46 (emphasis added).</w:t>
      </w:r>
    </w:p>
    <w:p w14:paraId="658FC999" w14:textId="77777777" w:rsidR="0004686D" w:rsidRDefault="0004686D" w:rsidP="0004686D">
      <w:pPr>
        <w:pStyle w:val="Footnotes"/>
      </w:pPr>
    </w:p>
  </w:footnote>
  <w:footnote w:id="3">
    <w:p w14:paraId="5835E0BA" w14:textId="77777777" w:rsidR="0004686D" w:rsidRDefault="0004686D" w:rsidP="0004686D">
      <w:pPr>
        <w:pStyle w:val="Footnotes"/>
      </w:pPr>
      <w:r>
        <w:rPr>
          <w:vertAlign w:val="superscript"/>
        </w:rPr>
        <w:footnoteRef/>
      </w:r>
      <w:r>
        <w:t> </w:t>
      </w:r>
      <w:r>
        <w:t>Ibid.</w:t>
      </w:r>
    </w:p>
    <w:p w14:paraId="25FB19DC" w14:textId="77777777" w:rsidR="0004686D" w:rsidRDefault="0004686D" w:rsidP="0004686D">
      <w:pPr>
        <w:pStyle w:val="Footnotes"/>
      </w:pPr>
    </w:p>
  </w:footnote>
  <w:footnote w:id="4">
    <w:p w14:paraId="2D1BE20B" w14:textId="77777777" w:rsidR="0004686D" w:rsidRDefault="0004686D" w:rsidP="0004686D">
      <w:pPr>
        <w:pStyle w:val="Footnotes"/>
      </w:pPr>
      <w:r>
        <w:rPr>
          <w:vertAlign w:val="superscript"/>
        </w:rPr>
        <w:footnoteRef/>
      </w:r>
      <w:r>
        <w:t> </w:t>
      </w:r>
      <w:r>
        <w:t>Ibid., p. 48.</w:t>
      </w:r>
    </w:p>
    <w:p w14:paraId="21BB80A9" w14:textId="77777777" w:rsidR="0004686D" w:rsidRDefault="0004686D" w:rsidP="0004686D">
      <w:pPr>
        <w:pStyle w:val="Footnotes"/>
      </w:pPr>
    </w:p>
  </w:footnote>
  <w:footnote w:id="5">
    <w:p w14:paraId="3143A3DE" w14:textId="77777777" w:rsidR="0004686D" w:rsidRDefault="0004686D" w:rsidP="0004686D">
      <w:pPr>
        <w:pStyle w:val="Footnotes"/>
      </w:pPr>
      <w:r>
        <w:rPr>
          <w:vertAlign w:val="superscript"/>
        </w:rPr>
        <w:footnoteRef/>
      </w:r>
      <w:r>
        <w:t> </w:t>
      </w:r>
      <w:r>
        <w:t>Ibid., p. 68.</w:t>
      </w:r>
    </w:p>
    <w:p w14:paraId="0AF258A3" w14:textId="77777777" w:rsidR="0004686D" w:rsidRDefault="0004686D" w:rsidP="0004686D">
      <w:pPr>
        <w:pStyle w:val="Footnotes"/>
      </w:pPr>
    </w:p>
  </w:footnote>
  <w:footnote w:id="6">
    <w:p w14:paraId="0E3F28A7" w14:textId="77777777" w:rsidR="0004686D" w:rsidRDefault="0004686D" w:rsidP="0004686D">
      <w:pPr>
        <w:pStyle w:val="Footnotes"/>
      </w:pPr>
      <w:r>
        <w:rPr>
          <w:vertAlign w:val="superscript"/>
        </w:rPr>
        <w:footnoteRef/>
      </w:r>
      <w:r>
        <w:t> </w:t>
      </w:r>
      <w:r>
        <w:t>Ibid., p. 69.</w:t>
      </w:r>
    </w:p>
    <w:p w14:paraId="2807546E" w14:textId="77777777" w:rsidR="0004686D" w:rsidRDefault="0004686D" w:rsidP="0004686D">
      <w:pPr>
        <w:pStyle w:val="Footnotes"/>
      </w:pPr>
    </w:p>
  </w:footnote>
  <w:footnote w:id="7">
    <w:p w14:paraId="3C3EB78F" w14:textId="77777777" w:rsidR="0004686D" w:rsidRDefault="0004686D" w:rsidP="0004686D">
      <w:pPr>
        <w:pStyle w:val="Footnotes"/>
      </w:pPr>
      <w:r>
        <w:rPr>
          <w:vertAlign w:val="superscript"/>
        </w:rPr>
        <w:footnoteRef/>
      </w:r>
      <w:r>
        <w:t> </w:t>
      </w:r>
      <w:r>
        <w:t xml:space="preserve">That said, I do agree that in certain cases someone who </w:t>
      </w:r>
      <w:r>
        <w:rPr>
          <w:rStyle w:val="italic"/>
        </w:rPr>
        <w:t>is</w:t>
      </w:r>
      <w:r>
        <w:t xml:space="preserve"> a standing threat to others may be dealt with appropriately, in which case self-defense principles come into play. See “A Libertarian Theory of Punishment and Rights” (</w:t>
      </w:r>
      <w:proofErr w:type="spellStart"/>
      <w:r>
        <w:t>ch.</w:t>
      </w:r>
      <w:proofErr w:type="spellEnd"/>
      <w:r>
        <w:t xml:space="preserve"> 5), Part IV.F. But not everyone who has committed an act of aggression is necessarily a standing threat.</w:t>
      </w:r>
    </w:p>
    <w:p w14:paraId="4D14BA3F" w14:textId="77777777" w:rsidR="0004686D" w:rsidRDefault="0004686D" w:rsidP="0004686D">
      <w:pPr>
        <w:pStyle w:val="Footnotes"/>
      </w:pPr>
    </w:p>
  </w:footnote>
  <w:footnote w:id="8">
    <w:p w14:paraId="2F39DFCD" w14:textId="77777777" w:rsidR="0004686D" w:rsidRDefault="0004686D" w:rsidP="0004686D">
      <w:pPr>
        <w:pStyle w:val="Footnotes"/>
      </w:pPr>
      <w:r>
        <w:rPr>
          <w:vertAlign w:val="superscript"/>
        </w:rPr>
        <w:footnoteRef/>
      </w:r>
      <w:r>
        <w:t> </w:t>
      </w:r>
      <w:r>
        <w:t>Smith, “A Killer’s Right to Life,” p. 68.</w:t>
      </w:r>
    </w:p>
    <w:p w14:paraId="5A4B77F0" w14:textId="77777777" w:rsidR="0004686D" w:rsidRDefault="0004686D" w:rsidP="0004686D">
      <w:pPr>
        <w:pStyle w:val="Footnotes"/>
      </w:pPr>
    </w:p>
  </w:footnote>
  <w:footnote w:id="9">
    <w:p w14:paraId="1C45226F" w14:textId="77777777" w:rsidR="0004686D" w:rsidRDefault="0004686D" w:rsidP="0004686D">
      <w:pPr>
        <w:pStyle w:val="Footnotes"/>
      </w:pPr>
      <w:r>
        <w:rPr>
          <w:vertAlign w:val="superscript"/>
        </w:rPr>
        <w:footnoteRef/>
      </w:r>
      <w:r>
        <w:t> </w:t>
      </w:r>
      <w:r>
        <w:t xml:space="preserve">Randy E. Barnett, </w:t>
      </w:r>
      <w:r>
        <w:rPr>
          <w:rStyle w:val="italic"/>
        </w:rPr>
        <w:t>The Structure of Liberty: Justice and the Rule of Law</w:t>
      </w:r>
      <w:r>
        <w:t>, 2d ed. (Oxford, 2014), p. 228 (emphasis added).</w:t>
      </w:r>
    </w:p>
    <w:p w14:paraId="2346B38C" w14:textId="77777777" w:rsidR="0004686D" w:rsidRDefault="0004686D" w:rsidP="0004686D">
      <w:pPr>
        <w:pStyle w:val="Footnotes"/>
      </w:pPr>
    </w:p>
  </w:footnote>
  <w:footnote w:id="10">
    <w:p w14:paraId="6A62D6AD" w14:textId="77777777" w:rsidR="0004686D" w:rsidRDefault="0004686D" w:rsidP="0004686D">
      <w:pPr>
        <w:pStyle w:val="Footnotes"/>
      </w:pPr>
      <w:r>
        <w:rPr>
          <w:vertAlign w:val="superscript"/>
        </w:rPr>
        <w:footnoteRef/>
      </w:r>
      <w:r>
        <w:t> </w:t>
      </w:r>
      <w:r>
        <w:t>Ibid., p. 237 (emphasis added).</w:t>
      </w:r>
    </w:p>
    <w:p w14:paraId="6CD29C5D" w14:textId="77777777" w:rsidR="0004686D" w:rsidRDefault="0004686D" w:rsidP="0004686D">
      <w:pPr>
        <w:pStyle w:val="Footnotes"/>
      </w:pPr>
    </w:p>
  </w:footnote>
  <w:footnote w:id="11">
    <w:p w14:paraId="414F6083" w14:textId="6710FED9" w:rsidR="0004686D" w:rsidRPr="00AE3918" w:rsidRDefault="0004686D" w:rsidP="00AE3918">
      <w:pPr>
        <w:pStyle w:val="Footnotes"/>
        <w:rPr>
          <w:spacing w:val="2"/>
        </w:rPr>
      </w:pPr>
      <w:r>
        <w:rPr>
          <w:vertAlign w:val="superscript"/>
        </w:rPr>
        <w:footnoteRef/>
      </w:r>
      <w:r>
        <w:rPr>
          <w:spacing w:val="2"/>
        </w:rPr>
        <w:t> </w:t>
      </w:r>
      <w:r>
        <w:rPr>
          <w:spacing w:val="2"/>
        </w:rPr>
        <w:t xml:space="preserve">Ibid., p. 186 n. 36. See also p. 321: “If men were gods, then perhaps imposing rewards and punishments on the basis of desert would be a workable theory.” Also: “It has been noted that one who wishes to extinguish or convey an inalienable right may do so by committing the appropriate wrongful act and thereby forfeiting it.” </w:t>
      </w:r>
      <w:r>
        <w:rPr>
          <w:rStyle w:val="italic"/>
          <w:spacing w:val="2"/>
        </w:rPr>
        <w:t>Idem</w:t>
      </w:r>
      <w:r>
        <w:rPr>
          <w:spacing w:val="2"/>
        </w:rPr>
        <w:t xml:space="preserve">, “Contract Remedies and Inalienable Rights,” </w:t>
      </w:r>
      <w:r>
        <w:rPr>
          <w:rStyle w:val="italic"/>
          <w:spacing w:val="2"/>
        </w:rPr>
        <w:t xml:space="preserve">Social </w:t>
      </w:r>
      <w:proofErr w:type="spellStart"/>
      <w:r>
        <w:rPr>
          <w:rStyle w:val="italic"/>
          <w:spacing w:val="2"/>
        </w:rPr>
        <w:t>Pol’y</w:t>
      </w:r>
      <w:proofErr w:type="spellEnd"/>
      <w:r>
        <w:rPr>
          <w:rStyle w:val="italic"/>
          <w:spacing w:val="2"/>
        </w:rPr>
        <w:t xml:space="preserve"> &amp;Phil.</w:t>
      </w:r>
      <w:r>
        <w:rPr>
          <w:spacing w:val="2"/>
        </w:rPr>
        <w:t xml:space="preserve"> 4, no. 1 (Autumn 1986; https://tinyurl.com/44adafte): 179–202, p. 186, and </w:t>
      </w:r>
      <w:r>
        <w:rPr>
          <w:rStyle w:val="italic"/>
          <w:spacing w:val="2"/>
        </w:rPr>
        <w:t>idem</w:t>
      </w:r>
      <w:r>
        <w:rPr>
          <w:spacing w:val="2"/>
        </w:rPr>
        <w:t>, “Rights and Remedies in a Consent Theory of Contract,” in Frey &amp; Morris, eds.</w:t>
      </w:r>
      <w:r>
        <w:rPr>
          <w:spacing w:val="2"/>
        </w:rPr>
        <w:t xml:space="preserve">, </w:t>
      </w:r>
      <w:r w:rsidR="00AE3918" w:rsidRPr="00AE3918">
        <w:rPr>
          <w:i/>
          <w:iCs/>
        </w:rPr>
        <w:t>Liability and Responsibility: Essays in Law and Morals</w:t>
      </w:r>
      <w:r>
        <w:rPr>
          <w:spacing w:val="2"/>
        </w:rPr>
        <w:t xml:space="preserve">, pp. 156–57, both citing Diana T. Meyers, </w:t>
      </w:r>
      <w:r>
        <w:rPr>
          <w:rStyle w:val="italic"/>
          <w:spacing w:val="2"/>
        </w:rPr>
        <w:t>Inalienable Rights: A Defense</w:t>
      </w:r>
      <w:r>
        <w:rPr>
          <w:spacing w:val="2"/>
        </w:rPr>
        <w:t xml:space="preserve"> (New York: Columbia </w:t>
      </w:r>
      <w:r>
        <w:rPr>
          <w:spacing w:val="1"/>
        </w:rPr>
        <w:t>University Press, 1985), p. 14. But if a criminal has forfeited his rights (to not be punished, say)</w:t>
      </w:r>
      <w:r>
        <w:rPr>
          <w:spacing w:val="2"/>
        </w:rPr>
        <w:t>, then it does not violate his rights to punish him.</w:t>
      </w:r>
    </w:p>
  </w:footnote>
  <w:footnote w:id="12">
    <w:p w14:paraId="1D36531D" w14:textId="77777777" w:rsidR="0004686D" w:rsidRDefault="0004686D" w:rsidP="0004686D">
      <w:pPr>
        <w:pStyle w:val="Footnotes"/>
        <w:rPr>
          <w:spacing w:val="2"/>
        </w:rPr>
      </w:pPr>
      <w:r>
        <w:rPr>
          <w:vertAlign w:val="superscript"/>
        </w:rPr>
        <w:footnoteRef/>
      </w:r>
      <w:r>
        <w:rPr>
          <w:spacing w:val="2"/>
        </w:rPr>
        <w:t> </w:t>
      </w:r>
      <w:r>
        <w:rPr>
          <w:spacing w:val="2"/>
        </w:rPr>
        <w:t xml:space="preserve">As pointed out in note 33, below, I also oppose institutionalized punishment for many of the pragmatic reasons given by Barnett, though it is not because rights are inalienable, and it is not because (proportional) punishment would violate the rights of </w:t>
      </w:r>
      <w:proofErr w:type="gramStart"/>
      <w:r>
        <w:rPr>
          <w:spacing w:val="2"/>
        </w:rPr>
        <w:t>actually guilty</w:t>
      </w:r>
      <w:proofErr w:type="gramEnd"/>
      <w:r>
        <w:rPr>
          <w:spacing w:val="2"/>
        </w:rPr>
        <w:t xml:space="preserve"> criminals.</w:t>
      </w:r>
    </w:p>
    <w:p w14:paraId="481F4AFD" w14:textId="77777777" w:rsidR="0004686D" w:rsidRDefault="0004686D" w:rsidP="0004686D">
      <w:pPr>
        <w:pStyle w:val="Footnotes"/>
      </w:pPr>
    </w:p>
  </w:footnote>
  <w:footnote w:id="13">
    <w:p w14:paraId="738CA260" w14:textId="77777777" w:rsidR="0004686D" w:rsidRDefault="0004686D" w:rsidP="0004686D">
      <w:pPr>
        <w:pStyle w:val="Footnotes"/>
      </w:pPr>
      <w:r>
        <w:rPr>
          <w:vertAlign w:val="superscript"/>
        </w:rPr>
        <w:footnoteRef/>
      </w:r>
      <w:r>
        <w:t> </w:t>
      </w:r>
      <w:r>
        <w:t xml:space="preserve">A second, less significant point, relates to Smith’s doubts about the propriety of killing or imprisoning someone who has shown himself to be a “standing threat” to others. Smith notes: “Objective standards and procedures seem problematic in this case, to say the least. (Perhaps I am lacking in imagination; if so, I have little doubt that more imaginative libertarians will come to my aid with ingenious solutions.)” Smith, “A Killer’s Right to Life,” p. 69. Barnett seems to have done just this. Barnett argues that the principle of “extended self-defense” justifies imprisoning (sometimes for life) those who have made a sufficiently unambiguous communication of a threat to another. Barnett, </w:t>
      </w:r>
      <w:r>
        <w:rPr>
          <w:rStyle w:val="italic"/>
        </w:rPr>
        <w:t>The Structure of Liberty</w:t>
      </w:r>
      <w:r>
        <w:t xml:space="preserve">, pp. 188–193. On pp. 213–14, Barnett points out that because of problems of enforcement abuse and rule of law considerations, however, this remedy should be limited to those persons who have communicated a threat to others by their past </w:t>
      </w:r>
      <w:r>
        <w:rPr>
          <w:rStyle w:val="italic"/>
        </w:rPr>
        <w:t>criminal</w:t>
      </w:r>
      <w:r>
        <w:t xml:space="preserve"> behavior (i.e., those who have been convicted, perhaps multiple times, of a crime), and only if the previous crimes had been proven beyond a reasonable doubt. See also Randy E. Barnett, “Getting Even: Restitution, Preventive Detention, and the Tort/Crime Distinction,” </w:t>
      </w:r>
      <w:r>
        <w:rPr>
          <w:rStyle w:val="italic"/>
        </w:rPr>
        <w:t>Boston U. L. Rev.</w:t>
      </w:r>
      <w:r>
        <w:t xml:space="preserve"> 76 (February/April 1996; www.randybarnett.com/pre-2000): 157–68. I believe this limitation on the principle of extended self-defense is unduly restrictive, but that is neither here nor there. See, e.g., my post “Stalking and Threats as Aggression,” </w:t>
      </w:r>
      <w:r>
        <w:rPr>
          <w:rStyle w:val="italic"/>
        </w:rPr>
        <w:t>StephanKinsella.com</w:t>
      </w:r>
      <w:r>
        <w:t xml:space="preserve"> (Jan. 10, 2021).</w:t>
      </w:r>
    </w:p>
    <w:p w14:paraId="753E2E3D" w14:textId="77777777" w:rsidR="0004686D" w:rsidRDefault="0004686D" w:rsidP="0004686D">
      <w:pPr>
        <w:pStyle w:val="Footnotes"/>
      </w:pPr>
    </w:p>
  </w:footnote>
  <w:footnote w:id="14">
    <w:p w14:paraId="6D80D39E" w14:textId="77777777" w:rsidR="0004686D" w:rsidRDefault="0004686D" w:rsidP="0004686D">
      <w:pPr>
        <w:pStyle w:val="Footnotes"/>
        <w:rPr>
          <w:spacing w:val="1"/>
        </w:rPr>
      </w:pPr>
      <w:r>
        <w:rPr>
          <w:vertAlign w:val="superscript"/>
        </w:rPr>
        <w:footnoteRef/>
      </w:r>
      <w:r>
        <w:rPr>
          <w:spacing w:val="1"/>
        </w:rPr>
        <w:t> </w:t>
      </w:r>
      <w:r>
        <w:rPr>
          <w:spacing w:val="1"/>
        </w:rPr>
        <w:t xml:space="preserve">Smith says Jeremy Bentham held the theory of “inalienable rights” to be “nonsense upon stilts,” and thus wonders if anyone who rejects inalienable rights must follow Bentham to his anti-libertarian conclusions. Smith, “Inalienable Rights?”, p. 51. Yet Bentham said that </w:t>
      </w:r>
      <w:r>
        <w:rPr>
          <w:rStyle w:val="italic"/>
          <w:spacing w:val="1"/>
        </w:rPr>
        <w:t>rights</w:t>
      </w:r>
      <w:r>
        <w:rPr>
          <w:spacing w:val="1"/>
        </w:rPr>
        <w:t xml:space="preserve"> were nonsense, and that </w:t>
      </w:r>
      <w:r>
        <w:rPr>
          <w:rStyle w:val="italic"/>
          <w:spacing w:val="1"/>
        </w:rPr>
        <w:t>natural</w:t>
      </w:r>
      <w:r>
        <w:rPr>
          <w:spacing w:val="1"/>
        </w:rPr>
        <w:t xml:space="preserve"> rights were nonsense upon stilts. He did not use the modifier “inalienable” that Smith subtly puts in his mouth (though he does use the adjective “imprescriptible”). Jeremy Bentham, “Anarchical Fallacies,” in </w:t>
      </w:r>
      <w:r>
        <w:rPr>
          <w:rStyle w:val="italic"/>
          <w:spacing w:val="1"/>
        </w:rPr>
        <w:t>Human Rights</w:t>
      </w:r>
      <w:r>
        <w:rPr>
          <w:spacing w:val="1"/>
        </w:rPr>
        <w:t xml:space="preserve">, A.I. </w:t>
      </w:r>
      <w:proofErr w:type="spellStart"/>
      <w:r>
        <w:rPr>
          <w:spacing w:val="1"/>
        </w:rPr>
        <w:t>Melden</w:t>
      </w:r>
      <w:proofErr w:type="spellEnd"/>
      <w:r>
        <w:rPr>
          <w:spacing w:val="1"/>
        </w:rPr>
        <w:t xml:space="preserve">, ed. (Belmont, Calif.: Wadsworth Publishing, 1970), p. 28. Bentham opposed natural rights on the grounds that they were anterior to government, and thus his criticism is applicable to both alienable and inalienable natural rights. Thus, one can oppose Bentham’s rights-skepticism by being in favor of </w:t>
      </w:r>
      <w:r>
        <w:rPr>
          <w:rStyle w:val="italic"/>
          <w:spacing w:val="1"/>
        </w:rPr>
        <w:t>alienable</w:t>
      </w:r>
      <w:r>
        <w:rPr>
          <w:spacing w:val="1"/>
        </w:rPr>
        <w:t xml:space="preserve"> natural rights, which means that rejecting inalienability does not mean following Bentham down a non-libertarian path, </w:t>
      </w:r>
      <w:proofErr w:type="gramStart"/>
      <w:r>
        <w:rPr>
          <w:spacing w:val="1"/>
        </w:rPr>
        <w:t>as long as</w:t>
      </w:r>
      <w:proofErr w:type="gramEnd"/>
      <w:r>
        <w:rPr>
          <w:spacing w:val="1"/>
        </w:rPr>
        <w:t xml:space="preserve"> one advocates </w:t>
      </w:r>
      <w:r>
        <w:rPr>
          <w:rStyle w:val="italic"/>
          <w:spacing w:val="1"/>
        </w:rPr>
        <w:t>natural</w:t>
      </w:r>
      <w:r>
        <w:rPr>
          <w:spacing w:val="1"/>
        </w:rPr>
        <w:t xml:space="preserve"> rights.</w:t>
      </w:r>
    </w:p>
    <w:p w14:paraId="02433F2D" w14:textId="77777777" w:rsidR="0004686D" w:rsidRDefault="0004686D" w:rsidP="0004686D">
      <w:pPr>
        <w:pStyle w:val="Footnotes"/>
      </w:pPr>
    </w:p>
  </w:footnote>
  <w:footnote w:id="15">
    <w:p w14:paraId="68DB4EAD" w14:textId="77777777" w:rsidR="0004686D" w:rsidRDefault="0004686D" w:rsidP="0004686D">
      <w:pPr>
        <w:pStyle w:val="Footnotes"/>
      </w:pPr>
      <w:r>
        <w:rPr>
          <w:vertAlign w:val="superscript"/>
        </w:rPr>
        <w:footnoteRef/>
      </w:r>
      <w:r>
        <w:t> </w:t>
      </w:r>
      <w:r>
        <w:t xml:space="preserve">Many, probably most, libertarians maintain that rights are strictly “alienable,” i.e., </w:t>
      </w:r>
      <w:r>
        <w:rPr>
          <w:rStyle w:val="italic"/>
        </w:rPr>
        <w:t>some</w:t>
      </w:r>
      <w:r>
        <w:t xml:space="preserve"> actions are sufficient to alienate rights (although they usually also maintain that rights are “inalienable” </w:t>
      </w:r>
      <w:r>
        <w:rPr>
          <w:rStyle w:val="italic"/>
        </w:rPr>
        <w:t>sometimes</w:t>
      </w:r>
      <w:r>
        <w:t xml:space="preserve">, e.g., promising to be another’s slave, as opposed to the commission of an act of aggression, does not serve to alienate rights; see section “Inalienability,” and note 34, below. In fact, any libertarian who advocates the right to punish (or, really, even the right to self-defense) at least implicitly endorses that rights can be alienated, to some extent. See, e.g., Murray N. Rothbard, “Self-Defense,” in </w:t>
      </w:r>
      <w:r>
        <w:rPr>
          <w:rStyle w:val="italic"/>
        </w:rPr>
        <w:t>The Ethics of Liberty</w:t>
      </w:r>
      <w:r>
        <w:t xml:space="preserve"> (New York: New York University Press, 1998; https://mises.org/library/right-self-defense), p. 81, where he says “the criminal … loses his right </w:t>
      </w:r>
      <w:r>
        <w:rPr>
          <w:rStyle w:val="italic"/>
        </w:rPr>
        <w:t>to the extent</w:t>
      </w:r>
      <w:r>
        <w:t xml:space="preserve"> that he has deprived another man of his” (emphasis in original); Barnett, “Contract Remedies and Inalienable Rights,” p. 186 (quoted in note 11 above); Roger Pilon, “Criminal Remedies: Restitution, Retribution, or Both?,” </w:t>
      </w:r>
      <w:r>
        <w:rPr>
          <w:rStyle w:val="italic"/>
        </w:rPr>
        <w:t>Ethics</w:t>
      </w:r>
      <w:r>
        <w:t xml:space="preserve"> 88, no. 4 (July 1978): 348–57, 353 (“The criminal act has created rights in the victim; in the criminal it has both alienated rights and created obligations correlative to the newly created rights of the victim.”); John Locke, </w:t>
      </w:r>
      <w:r>
        <w:rPr>
          <w:rStyle w:val="italic"/>
        </w:rPr>
        <w:t xml:space="preserve">Second Treatise on Civil Government </w:t>
      </w:r>
      <w:r>
        <w:t xml:space="preserve">(1690; https://www.johnlocke.net/2022/07/two-treatises-of-government.html), § 172 (power over one man’s life “is the effect only of forfeiture which the aggressor makes of his own life when he puts himself into the state of war with another”); Auberon Herbert, “Part XI,” in Auberon Herbert &amp; J. H. Levy, </w:t>
      </w:r>
      <w:r>
        <w:rPr>
          <w:rStyle w:val="italic"/>
        </w:rPr>
        <w:t>Taxation and Anarchism: A Discussion between the Hon. Auberon Herbert and J.H. Levy</w:t>
      </w:r>
      <w:r>
        <w:t xml:space="preserve"> (London: The Personal Rights Association, 1912; https://perma.cc/LX8H-MZFH), p. 38 (“Am I right in saying that a man has forfeited his own rights (to the extent of the aggression he has committed) in attacking the rights of others? … It may be very difficult to translate into concrete terms the amount of aggression, and of resulting restraint; but all just law seems to be the effort to do this. We punish a man in a certain way if he has inflicted an injury which lays me up for a day; in another way if he takes my life…. [T]he punishment or redress … should be measured by the amount of aggression; in other words that the aggressor—after a rough fashion—loses as much liberty as that of which he has deprived others.”), also ibid., pp. 39–40; also other sources quoted in “A Libertarian Theory of Punishment and Rights” (</w:t>
      </w:r>
      <w:proofErr w:type="spellStart"/>
      <w:r>
        <w:t>ch.</w:t>
      </w:r>
      <w:proofErr w:type="spellEnd"/>
      <w:r>
        <w:t xml:space="preserve"> 5), n.43; also Kinsella, “Quotes on the Logic of Liberty,” </w:t>
      </w:r>
      <w:r>
        <w:rPr>
          <w:rStyle w:val="italic"/>
        </w:rPr>
        <w:t>StephanKinsella.com</w:t>
      </w:r>
      <w:r>
        <w:t xml:space="preserve"> (June 22, 2009).</w:t>
      </w:r>
    </w:p>
    <w:p w14:paraId="40663EEE" w14:textId="77777777" w:rsidR="0004686D" w:rsidRDefault="0004686D" w:rsidP="0004686D">
      <w:pPr>
        <w:pStyle w:val="Footnotes"/>
      </w:pPr>
    </w:p>
  </w:footnote>
  <w:footnote w:id="16">
    <w:p w14:paraId="2D891983" w14:textId="77777777" w:rsidR="0004686D" w:rsidRDefault="0004686D" w:rsidP="0004686D">
      <w:pPr>
        <w:pStyle w:val="Footnotes"/>
      </w:pPr>
      <w:r>
        <w:rPr>
          <w:vertAlign w:val="superscript"/>
        </w:rPr>
        <w:footnoteRef/>
      </w:r>
      <w:r>
        <w:t> </w:t>
      </w:r>
      <w:r>
        <w:t>For more on forfeiture or alienation of rights, see “Knowledge, Calculation, Conflict, and Law” (</w:t>
      </w:r>
      <w:proofErr w:type="spellStart"/>
      <w:r>
        <w:t>ch.</w:t>
      </w:r>
      <w:proofErr w:type="spellEnd"/>
      <w:r>
        <w:t xml:space="preserve"> 19), n.81 and “A Libertarian Theory of Punishment and Rights” (</w:t>
      </w:r>
      <w:proofErr w:type="spellStart"/>
      <w:r>
        <w:t>ch.</w:t>
      </w:r>
      <w:proofErr w:type="spellEnd"/>
      <w:r>
        <w:t xml:space="preserve"> 5), n.88 and Appendix: The Justice of Responsive Force; also “What Libertarianism Is” (</w:t>
      </w:r>
      <w:proofErr w:type="spellStart"/>
      <w:r>
        <w:t>ch.</w:t>
      </w:r>
      <w:proofErr w:type="spellEnd"/>
      <w:r>
        <w:t xml:space="preserve"> 2), n.17; “How We Come to Own Ourselves” (</w:t>
      </w:r>
      <w:proofErr w:type="spellStart"/>
      <w:r>
        <w:t>ch.</w:t>
      </w:r>
      <w:proofErr w:type="spellEnd"/>
      <w:r>
        <w:t xml:space="preserve"> 4), n.15; also, in general,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7FA48363" w14:textId="77777777" w:rsidR="0004686D" w:rsidRDefault="0004686D" w:rsidP="0004686D">
      <w:pPr>
        <w:pStyle w:val="Footnotes"/>
      </w:pPr>
    </w:p>
  </w:footnote>
  <w:footnote w:id="17">
    <w:p w14:paraId="65517422" w14:textId="77777777" w:rsidR="0004686D" w:rsidRDefault="0004686D" w:rsidP="0004686D">
      <w:pPr>
        <w:pStyle w:val="Footnotes"/>
      </w:pPr>
      <w:r>
        <w:rPr>
          <w:vertAlign w:val="superscript"/>
        </w:rPr>
        <w:footnoteRef/>
      </w:r>
      <w:r>
        <w:t> </w:t>
      </w:r>
      <w:r>
        <w:t>Goodman, “Do Inalienable Rights Outlaw Punishment?”, p. 47.</w:t>
      </w:r>
    </w:p>
    <w:p w14:paraId="00E13045" w14:textId="77777777" w:rsidR="0004686D" w:rsidRDefault="0004686D" w:rsidP="0004686D">
      <w:pPr>
        <w:pStyle w:val="Footnotes"/>
      </w:pPr>
    </w:p>
  </w:footnote>
  <w:footnote w:id="18">
    <w:p w14:paraId="5A057A77" w14:textId="476AAE83" w:rsidR="0004686D" w:rsidRDefault="0004686D" w:rsidP="0004686D">
      <w:pPr>
        <w:pStyle w:val="Footnotes"/>
      </w:pPr>
      <w:r>
        <w:rPr>
          <w:vertAlign w:val="superscript"/>
        </w:rPr>
        <w:footnoteRef/>
      </w:r>
      <w:r>
        <w:t> </w:t>
      </w:r>
      <w:r>
        <w:t xml:space="preserve">The following thought-experiment, from the ever-fertile libertarian mind of Walter Block (as relayed to me by Joe Salerno), illustrates why a proponent of restitution must, in principle, be willing to support capital punishment as well. Block asks, what if it were possible to </w:t>
      </w:r>
      <w:proofErr w:type="gramStart"/>
      <w:r>
        <w:t>actually provide</w:t>
      </w:r>
      <w:proofErr w:type="gramEnd"/>
      <w:r>
        <w:t xml:space="preserve"> true restitution to a murder victim—to restore his life—by connecting a “life-sucking” machine to the murderer and transferring his life essence to the dead victim? This would bring the dead victim back at the cost of the killer’s life. Surely, a </w:t>
      </w:r>
      <w:proofErr w:type="spellStart"/>
      <w:r>
        <w:t>restitutionist</w:t>
      </w:r>
      <w:proofErr w:type="spellEnd"/>
      <w:r>
        <w:t xml:space="preserve"> would have to be in favor of this, as it is simply a type of force used to enforce restitution, and the purpose of restitution is to “restore” the victim. But what is the difference, in principle, between killing the aggressor to “restore” the victim and killing the aggressor as punishment? In both cases, the aggressor is intentionally killed, against his will, in response to his earlier aggression. </w:t>
      </w:r>
      <w:proofErr w:type="gramStart"/>
      <w:r>
        <w:t>It would seem that in</w:t>
      </w:r>
      <w:proofErr w:type="gramEnd"/>
      <w:r>
        <w:t xml:space="preserve"> this case, the </w:t>
      </w:r>
      <w:proofErr w:type="spellStart"/>
      <w:r>
        <w:t>restitutionist</w:t>
      </w:r>
      <w:proofErr w:type="spellEnd"/>
      <w:r>
        <w:t xml:space="preserve">, like the retributionist, supports executing murderers, and thus cannot claim that a murderer has, in principle, an inalienable right to life. See Walter Block &amp; Roy Whitehead, “Taking </w:t>
      </w:r>
      <w:r>
        <w:rPr>
          <w:spacing w:val="-1"/>
        </w:rPr>
        <w:t xml:space="preserve">the </w:t>
      </w:r>
      <w:r>
        <w:t>Assets of Criminals to Compensate Victims of Violence: A Legal and Philosophical</w:t>
      </w:r>
      <w:r>
        <w:rPr>
          <w:spacing w:val="1"/>
        </w:rPr>
        <w:t xml:space="preserve"> </w:t>
      </w:r>
      <w:r>
        <w:t xml:space="preserve">Approach,” </w:t>
      </w:r>
      <w:r>
        <w:rPr>
          <w:rStyle w:val="italic"/>
        </w:rPr>
        <w:t>Wayne State U. L. Sch. J. Law Soc.</w:t>
      </w:r>
      <w:r>
        <w:t xml:space="preserve"> 5 (2003,</w:t>
      </w:r>
      <w:r w:rsidR="005D3E42">
        <w:t xml:space="preserve"> </w:t>
      </w:r>
      <w:r>
        <w:t>www.walterblock.com/publications):</w:t>
      </w:r>
      <w:r>
        <w:rPr>
          <w:spacing w:val="1"/>
        </w:rPr>
        <w:t xml:space="preserve"> 229–53, pp. 249–51; </w:t>
      </w:r>
      <w:r>
        <w:rPr>
          <w:rStyle w:val="italic"/>
          <w:i w:val="0"/>
          <w:iCs w:val="0"/>
          <w:spacing w:val="1"/>
        </w:rPr>
        <w:t>Walter E. Block</w:t>
      </w:r>
      <w:r>
        <w:rPr>
          <w:spacing w:val="1"/>
        </w:rPr>
        <w:t xml:space="preserve">, </w:t>
      </w:r>
      <w:r>
        <w:t xml:space="preserve">“The Death Penalty,” </w:t>
      </w:r>
      <w:r>
        <w:rPr>
          <w:rStyle w:val="italic"/>
        </w:rPr>
        <w:t>LewRockwell.com</w:t>
      </w:r>
      <w:r>
        <w:t xml:space="preserve"> (November 11, 2003; www.lewrockwell.com/2003/11/walter-e-block/the-death-penalty).</w:t>
      </w:r>
    </w:p>
    <w:p w14:paraId="1F38184D" w14:textId="77777777" w:rsidR="0004686D" w:rsidRDefault="0004686D" w:rsidP="0004686D">
      <w:pPr>
        <w:pStyle w:val="Footnotes"/>
      </w:pPr>
    </w:p>
  </w:footnote>
  <w:footnote w:id="19">
    <w:p w14:paraId="46090495" w14:textId="77777777" w:rsidR="0004686D" w:rsidRDefault="0004686D" w:rsidP="0004686D">
      <w:pPr>
        <w:pStyle w:val="Footnotes"/>
      </w:pPr>
      <w:r>
        <w:rPr>
          <w:vertAlign w:val="superscript"/>
        </w:rPr>
        <w:footnoteRef/>
      </w:r>
      <w:r>
        <w:t> </w:t>
      </w:r>
      <w:r>
        <w:t>Smith, “A Killer’s Right to Life,” p. 69</w:t>
      </w:r>
    </w:p>
    <w:p w14:paraId="6301B453" w14:textId="77777777" w:rsidR="0004686D" w:rsidRDefault="0004686D" w:rsidP="0004686D">
      <w:pPr>
        <w:pStyle w:val="Footnotes"/>
      </w:pPr>
    </w:p>
  </w:footnote>
  <w:footnote w:id="20">
    <w:p w14:paraId="536FB914" w14:textId="77777777" w:rsidR="0004686D" w:rsidRDefault="0004686D" w:rsidP="0004686D">
      <w:pPr>
        <w:pStyle w:val="Footnotes"/>
      </w:pPr>
      <w:r>
        <w:rPr>
          <w:vertAlign w:val="superscript"/>
        </w:rPr>
        <w:footnoteRef/>
      </w:r>
      <w:r>
        <w:t> </w:t>
      </w:r>
      <w:r>
        <w:rPr>
          <w:spacing w:val="-1"/>
        </w:rPr>
        <w:t xml:space="preserve">Smith, “Inalienable </w:t>
      </w:r>
      <w:proofErr w:type="gramStart"/>
      <w:r>
        <w:rPr>
          <w:spacing w:val="-1"/>
        </w:rPr>
        <w:t>Rights?,</w:t>
      </w:r>
      <w:proofErr w:type="gramEnd"/>
      <w:r>
        <w:rPr>
          <w:spacing w:val="-1"/>
        </w:rPr>
        <w:t xml:space="preserve">” p. 55 (emphasis added). Note that Smith here confusingly </w:t>
      </w:r>
      <w:r>
        <w:t xml:space="preserve">refers to “fines and imprisonment”—presumably forms of restitution—as “punishment,” even though a supposed advantage of restitution is that it is </w:t>
      </w:r>
      <w:r>
        <w:rPr>
          <w:rStyle w:val="italic"/>
        </w:rPr>
        <w:t>not</w:t>
      </w:r>
      <w:r>
        <w:t xml:space="preserve"> punitive.</w:t>
      </w:r>
    </w:p>
    <w:p w14:paraId="001C27CF" w14:textId="77777777" w:rsidR="0004686D" w:rsidRDefault="0004686D" w:rsidP="0004686D">
      <w:pPr>
        <w:pStyle w:val="Footnotes"/>
      </w:pPr>
    </w:p>
  </w:footnote>
  <w:footnote w:id="21">
    <w:p w14:paraId="532FE71F" w14:textId="77777777" w:rsidR="0004686D" w:rsidRDefault="0004686D" w:rsidP="0004686D">
      <w:pPr>
        <w:pStyle w:val="Footnotes"/>
      </w:pPr>
      <w:r>
        <w:rPr>
          <w:vertAlign w:val="superscript"/>
        </w:rPr>
        <w:footnoteRef/>
      </w:r>
      <w:r>
        <w:t> </w:t>
      </w:r>
      <w:r>
        <w:t>Libertarian Robert LeFevre has been accused of holding such views. But his pacifism was perhaps a bit more nuanced. In revising this chapter, this footnote grew to unmanageable length. I have placed the relevant commentary in the Appendix, below.</w:t>
      </w:r>
    </w:p>
    <w:p w14:paraId="6FC26F92" w14:textId="77777777" w:rsidR="0004686D" w:rsidRDefault="0004686D" w:rsidP="0004686D">
      <w:pPr>
        <w:pStyle w:val="Footnotes"/>
      </w:pPr>
    </w:p>
  </w:footnote>
  <w:footnote w:id="22">
    <w:p w14:paraId="113F1E11" w14:textId="77777777" w:rsidR="0004686D" w:rsidRDefault="0004686D" w:rsidP="0004686D">
      <w:pPr>
        <w:pStyle w:val="Footnotes"/>
      </w:pPr>
      <w:r>
        <w:rPr>
          <w:vertAlign w:val="superscript"/>
        </w:rPr>
        <w:footnoteRef/>
      </w:r>
      <w:r>
        <w:t> </w:t>
      </w:r>
      <w:r>
        <w:t>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3D71268D" w14:textId="77777777" w:rsidR="0004686D" w:rsidRDefault="0004686D" w:rsidP="0004686D">
      <w:pPr>
        <w:pStyle w:val="Footnotes"/>
      </w:pPr>
    </w:p>
  </w:footnote>
  <w:footnote w:id="23">
    <w:p w14:paraId="38E0C7CA" w14:textId="77777777" w:rsidR="0004686D" w:rsidRDefault="0004686D" w:rsidP="0004686D">
      <w:pPr>
        <w:pStyle w:val="Footnotes"/>
      </w:pPr>
      <w:r>
        <w:rPr>
          <w:vertAlign w:val="superscript"/>
        </w:rPr>
        <w:footnoteRef/>
      </w:r>
      <w:r>
        <w:t> </w:t>
      </w:r>
      <w:r>
        <w:t>For a discussion of proportionality, see “A Libertarian Theory of Punishment and Rights” (</w:t>
      </w:r>
      <w:proofErr w:type="spellStart"/>
      <w:r>
        <w:t>ch.</w:t>
      </w:r>
      <w:proofErr w:type="spellEnd"/>
      <w:r>
        <w:t xml:space="preserve"> 5), Part IV.A</w:t>
      </w:r>
    </w:p>
    <w:p w14:paraId="225D5EAF" w14:textId="77777777" w:rsidR="0004686D" w:rsidRDefault="0004686D" w:rsidP="0004686D">
      <w:pPr>
        <w:pStyle w:val="Footnotes"/>
      </w:pPr>
    </w:p>
  </w:footnote>
  <w:footnote w:id="24">
    <w:p w14:paraId="7306324B" w14:textId="77777777" w:rsidR="0004686D" w:rsidRDefault="0004686D" w:rsidP="0004686D">
      <w:pPr>
        <w:pStyle w:val="Footnotes"/>
      </w:pPr>
      <w:r>
        <w:rPr>
          <w:vertAlign w:val="superscript"/>
        </w:rPr>
        <w:footnoteRef/>
      </w:r>
      <w:r>
        <w:rPr>
          <w:spacing w:val="1"/>
        </w:rPr>
        <w:t> </w:t>
      </w:r>
      <w:r>
        <w:rPr>
          <w:spacing w:val="1"/>
        </w:rPr>
        <w:t>Another error lies in the very title of Smith’s article: “A Killer’s Right to Life.” Un</w:t>
      </w:r>
      <w:r>
        <w:t xml:space="preserve">der libertarianism, one has a right against the </w:t>
      </w:r>
      <w:r>
        <w:rPr>
          <w:rStyle w:val="italic"/>
        </w:rPr>
        <w:t>initiation</w:t>
      </w:r>
      <w:r>
        <w:t xml:space="preserve"> of force—against aggression. But punishment is not </w:t>
      </w:r>
      <w:r>
        <w:rPr>
          <w:rStyle w:val="italic"/>
        </w:rPr>
        <w:t>initiatory</w:t>
      </w:r>
      <w:r>
        <w:t xml:space="preserve"> force; it is force </w:t>
      </w:r>
      <w:r>
        <w:rPr>
          <w:rStyle w:val="italic"/>
        </w:rPr>
        <w:t>in response</w:t>
      </w:r>
      <w:r>
        <w:t xml:space="preserve"> to </w:t>
      </w:r>
      <w:proofErr w:type="gramStart"/>
      <w:r>
        <w:t>initiated</w:t>
      </w:r>
      <w:proofErr w:type="gramEnd"/>
      <w:r>
        <w:t xml:space="preserve"> force. Part of Smith’s confusion here lies in thinking that libertarianism upholds some actual right to </w:t>
      </w:r>
      <w:r>
        <w:rPr>
          <w:rStyle w:val="italic"/>
        </w:rPr>
        <w:t>life</w:t>
      </w:r>
      <w:r>
        <w:t>. There is no right to life. There is no right to “free speech.” The ability to enjoy your life or engage in speech is a consequence of a system where your property rights are respected. As I wrote previously:</w:t>
      </w:r>
    </w:p>
    <w:p w14:paraId="4FC45577" w14:textId="77777777" w:rsidR="0004686D" w:rsidRDefault="0004686D" w:rsidP="0004686D">
      <w:pPr>
        <w:pStyle w:val="FootnoteBlockquotes"/>
      </w:pPr>
      <w:r>
        <w:t xml:space="preserve">If I own … 100 acres of land, I can prance around naked on it, not because the land is imbued with some “right-to-prance-naked,” but because I own the </w:t>
      </w:r>
      <w:proofErr w:type="gramStart"/>
      <w:r>
        <w:t>land</w:t>
      </w:r>
      <w:proofErr w:type="gramEnd"/>
      <w:r>
        <w:t xml:space="preserve"> and it does not (necessarily) violate the property rights of others for me to use my property in this fashion.</w:t>
      </w:r>
    </w:p>
    <w:p w14:paraId="3A0F9790" w14:textId="62B5B89F" w:rsidR="0004686D" w:rsidRDefault="0004686D" w:rsidP="0004686D">
      <w:pPr>
        <w:pStyle w:val="Footnotes"/>
        <w:ind w:firstLine="0"/>
      </w:pPr>
      <w:r>
        <w:t xml:space="preserve">Kinsella, </w:t>
      </w:r>
      <w:r>
        <w:rPr>
          <w:rStyle w:val="italic"/>
        </w:rPr>
        <w:t>Against Intellectual Property</w:t>
      </w:r>
      <w:r>
        <w:t xml:space="preserve"> (Auburn, Ala.: Mises Institute, 2008), p. 53. See also Rothbard’s criticism of the “right to free speech” in Murray N. Rothbard, “Human Rights as Property Rights,” in </w:t>
      </w:r>
      <w:r>
        <w:rPr>
          <w:rStyle w:val="italic"/>
        </w:rPr>
        <w:t>The Ethics of Liberty</w:t>
      </w:r>
      <w:r>
        <w:t xml:space="preserve"> (https://mises.org/library/human-rights-property-rights).</w:t>
      </w:r>
    </w:p>
    <w:p w14:paraId="03364748" w14:textId="77777777" w:rsidR="0004686D" w:rsidRDefault="0004686D" w:rsidP="0004686D">
      <w:pPr>
        <w:pStyle w:val="Footnotes"/>
        <w:rPr>
          <w:spacing w:val="1"/>
        </w:rPr>
      </w:pPr>
      <w:r>
        <w:rPr>
          <w:spacing w:val="1"/>
        </w:rPr>
        <w:t xml:space="preserve">Likewise, there is no abstract “right to life.” There is a right against aggression, that is, to not have one’s property rights violated. That is why libertarians advocate the non-aggression axiom or principle, not the “life axiom.” An innocent person can use his right against aggression to protect his life, if he so chooses; or he may commit suicide or waste his life in other ways. Thus, an innocent person may be said to have a right to life, if it is kept in mind that the so-called “right to life” is merely derivative of—a consequence of—the primary right against aggression, just as the right to free speech is derivative of the right to own private property and the right against aggression. An aggressor, on the other hand, no longer has a right against the imposition of force, and thus his life is in peril. The aggressor, therefore, no longer has a “right to his life,” such that it was. </w:t>
      </w:r>
    </w:p>
    <w:p w14:paraId="54595212" w14:textId="77777777" w:rsidR="0004686D" w:rsidRDefault="0004686D" w:rsidP="0004686D">
      <w:pPr>
        <w:pStyle w:val="Footnotes"/>
      </w:pPr>
    </w:p>
  </w:footnote>
  <w:footnote w:id="25">
    <w:p w14:paraId="01AE703C" w14:textId="77777777" w:rsidR="0004686D" w:rsidRDefault="0004686D" w:rsidP="0004686D">
      <w:pPr>
        <w:pStyle w:val="Footnotes"/>
      </w:pPr>
      <w:r>
        <w:rPr>
          <w:vertAlign w:val="superscript"/>
        </w:rPr>
        <w:footnoteRef/>
      </w:r>
      <w:r>
        <w:t> </w:t>
      </w:r>
      <w:r>
        <w:t xml:space="preserve">Barnett, an advocate of restitution and opponent of punishment, recognizes this, and for this reason emphasizes the importance of crime </w:t>
      </w:r>
      <w:r>
        <w:rPr>
          <w:rStyle w:val="italic"/>
        </w:rPr>
        <w:t>prevention</w:t>
      </w:r>
      <w:r>
        <w:t xml:space="preserve">. See Barnett, </w:t>
      </w:r>
      <w:r>
        <w:rPr>
          <w:rStyle w:val="italic"/>
        </w:rPr>
        <w:t>Structure of Liberty</w:t>
      </w:r>
      <w:r>
        <w:t>, pp. 185–92. As does LeFevre, as discussed in the Appendix.</w:t>
      </w:r>
    </w:p>
    <w:p w14:paraId="1C14634C" w14:textId="77777777" w:rsidR="0004686D" w:rsidRDefault="0004686D" w:rsidP="0004686D">
      <w:pPr>
        <w:pStyle w:val="Footnotes"/>
      </w:pPr>
    </w:p>
  </w:footnote>
  <w:footnote w:id="26">
    <w:p w14:paraId="5532289C" w14:textId="77777777" w:rsidR="0004686D" w:rsidRDefault="0004686D" w:rsidP="0004686D">
      <w:pPr>
        <w:pStyle w:val="Footnotes"/>
      </w:pPr>
      <w:r>
        <w:rPr>
          <w:vertAlign w:val="superscript"/>
        </w:rPr>
        <w:footnoteRef/>
      </w:r>
      <w:r>
        <w:t> </w:t>
      </w:r>
      <w:r>
        <w:t>On giving victims the option of what type of punishment to apply or whether to seek restitution or some blend of punishment and restitution, see “A Libertarian Theory of Punishment and Rights” (</w:t>
      </w:r>
      <w:proofErr w:type="spellStart"/>
      <w:r>
        <w:t>ch.</w:t>
      </w:r>
      <w:proofErr w:type="spellEnd"/>
      <w:r>
        <w:t xml:space="preserve"> 5), Part IV.B; Pilon, “Criminal Remedies,” p. 356; Barnett, </w:t>
      </w:r>
      <w:r>
        <w:rPr>
          <w:rStyle w:val="italic"/>
        </w:rPr>
        <w:t>Structure of Liberty,</w:t>
      </w:r>
      <w:r>
        <w:t xml:space="preserve"> p. 184 n.32; Joseph Ellin, “</w:t>
      </w:r>
      <w:proofErr w:type="spellStart"/>
      <w:r>
        <w:t>Restitutionism</w:t>
      </w:r>
      <w:proofErr w:type="spellEnd"/>
      <w:r>
        <w:t xml:space="preserve"> Defended,” </w:t>
      </w:r>
      <w:r>
        <w:rPr>
          <w:rStyle w:val="italic"/>
        </w:rPr>
        <w:t xml:space="preserve">J. Value Inquiry </w:t>
      </w:r>
      <w:r>
        <w:t>34, no. 2 (Sept. 2000): 299–317.</w:t>
      </w:r>
    </w:p>
    <w:p w14:paraId="004CDCE4" w14:textId="77777777" w:rsidR="0004686D" w:rsidRDefault="0004686D" w:rsidP="0004686D">
      <w:pPr>
        <w:pStyle w:val="Footnotes"/>
      </w:pPr>
    </w:p>
  </w:footnote>
  <w:footnote w:id="27">
    <w:p w14:paraId="1FC2BFBE" w14:textId="77777777" w:rsidR="0004686D" w:rsidRDefault="0004686D" w:rsidP="0004686D">
      <w:pPr>
        <w:pStyle w:val="Footnotes"/>
      </w:pPr>
      <w:r>
        <w:rPr>
          <w:vertAlign w:val="superscript"/>
        </w:rPr>
        <w:footnoteRef/>
      </w:r>
      <w:r>
        <w:t> </w:t>
      </w:r>
      <w:r>
        <w:t>See note 33, below.</w:t>
      </w:r>
    </w:p>
    <w:p w14:paraId="0D42963F" w14:textId="77777777" w:rsidR="0004686D" w:rsidRDefault="0004686D" w:rsidP="0004686D">
      <w:pPr>
        <w:pStyle w:val="Footnotes"/>
      </w:pPr>
    </w:p>
  </w:footnote>
  <w:footnote w:id="28">
    <w:p w14:paraId="4E8AB5EB" w14:textId="77777777" w:rsidR="0004686D" w:rsidRDefault="0004686D" w:rsidP="0004686D">
      <w:pPr>
        <w:pStyle w:val="Footnotes"/>
        <w:rPr>
          <w:spacing w:val="1"/>
        </w:rPr>
      </w:pPr>
      <w:r>
        <w:rPr>
          <w:vertAlign w:val="superscript"/>
        </w:rPr>
        <w:footnoteRef/>
      </w:r>
      <w:r>
        <w:rPr>
          <w:spacing w:val="1"/>
        </w:rPr>
        <w:t> </w:t>
      </w:r>
      <w:r>
        <w:rPr>
          <w:spacing w:val="1"/>
        </w:rPr>
        <w:t xml:space="preserve">For previous suggestions of the possibility of criminals buying their way out of punishment, see Rothbard, “Punishment and Proportionality,” in </w:t>
      </w:r>
      <w:r>
        <w:rPr>
          <w:rStyle w:val="italic"/>
          <w:spacing w:val="1"/>
        </w:rPr>
        <w:t>The Ethics of Liberty</w:t>
      </w:r>
      <w:r>
        <w:rPr>
          <w:spacing w:val="1"/>
        </w:rPr>
        <w:t>, pp. 86, 89; Pilon, “Criminal Remedies,” p. 356.</w:t>
      </w:r>
    </w:p>
    <w:p w14:paraId="3A71D9B4" w14:textId="77777777" w:rsidR="0004686D" w:rsidRDefault="0004686D" w:rsidP="0004686D">
      <w:pPr>
        <w:pStyle w:val="Footnotes"/>
      </w:pPr>
    </w:p>
  </w:footnote>
  <w:footnote w:id="29">
    <w:p w14:paraId="3CB9A65B" w14:textId="77777777" w:rsidR="0004686D" w:rsidRDefault="0004686D" w:rsidP="0004686D">
      <w:pPr>
        <w:pStyle w:val="Footnotes"/>
      </w:pPr>
      <w:r>
        <w:rPr>
          <w:vertAlign w:val="superscript"/>
        </w:rPr>
        <w:footnoteRef/>
      </w:r>
      <w:r>
        <w:t> </w:t>
      </w:r>
      <w:r>
        <w:t>See “A Libertarian Theory of Punishment and Rights” (</w:t>
      </w:r>
      <w:proofErr w:type="spellStart"/>
      <w:r>
        <w:t>ch.</w:t>
      </w:r>
      <w:proofErr w:type="spellEnd"/>
      <w:r>
        <w:t xml:space="preserve"> 5), Part IV.G. See also Randy E. Barnett, “Restitution: A New Paradigm of Criminal Justice,” </w:t>
      </w:r>
      <w:r>
        <w:rPr>
          <w:rStyle w:val="italic"/>
        </w:rPr>
        <w:t>Ethics</w:t>
      </w:r>
      <w:r>
        <w:t xml:space="preserve"> 87, no. 4 (July 1977; https://scholarship.law.georgetown.edu/facpub/1558/): 279–301, pp. 297–98, reprinted in </w:t>
      </w:r>
      <w:r>
        <w:rPr>
          <w:rStyle w:val="italic"/>
        </w:rPr>
        <w:t>Assessing the Criminal: Restitution, Retribution, and the Legal Process</w:t>
      </w:r>
      <w:r>
        <w:t xml:space="preserve">, Randy E. Barnett &amp; John Hagel III, eds. (Cambridge, Mass.: Ballinger, 1977), pp. 379–380; Roger Pilon, “Criminal Remedies,” p. 351. For a “law-and-economics” discussion of this issue, see David D. Friedman, “What Is ‘Fair Compensation’ for Death or Injury?”, </w:t>
      </w:r>
      <w:r>
        <w:rPr>
          <w:rStyle w:val="italic"/>
        </w:rPr>
        <w:t>Int’l Rev. L &amp; Econ.</w:t>
      </w:r>
      <w:r>
        <w:t xml:space="preserve"> 2 (1982; https://perma.cc/W5BU-K6PL): 81–93; </w:t>
      </w:r>
      <w:r>
        <w:rPr>
          <w:rStyle w:val="italic"/>
        </w:rPr>
        <w:t>idem</w:t>
      </w:r>
      <w:r>
        <w:t xml:space="preserve">, “Reflections on Optimal Punishment, or: Should the Rich Pay Higher </w:t>
      </w:r>
      <w:proofErr w:type="gramStart"/>
      <w:r>
        <w:t>Fines?,</w:t>
      </w:r>
      <w:proofErr w:type="gramEnd"/>
      <w:r>
        <w:t xml:space="preserve">” </w:t>
      </w:r>
      <w:r>
        <w:rPr>
          <w:rStyle w:val="italic"/>
        </w:rPr>
        <w:t>Research in L. &amp; Econ.</w:t>
      </w:r>
      <w:r>
        <w:t xml:space="preserve"> 3 (1981): 185–205; </w:t>
      </w:r>
      <w:r>
        <w:rPr>
          <w:rStyle w:val="italic"/>
        </w:rPr>
        <w:t>idem</w:t>
      </w:r>
      <w:r>
        <w:t xml:space="preserve">, “Why Not Hang Them All: The Virtues of Inefficient Punishment,” </w:t>
      </w:r>
      <w:r>
        <w:rPr>
          <w:rStyle w:val="italic"/>
        </w:rPr>
        <w:t>J. Pol. Econ.</w:t>
      </w:r>
      <w:r>
        <w:t xml:space="preserve"> 107, no. S6 (December 1999; https://perma.cc/3M2H-68N2), pp. S259–S269.</w:t>
      </w:r>
    </w:p>
    <w:p w14:paraId="392FD457" w14:textId="77777777" w:rsidR="0004686D" w:rsidRDefault="0004686D" w:rsidP="0004686D">
      <w:pPr>
        <w:pStyle w:val="Footnotes"/>
      </w:pPr>
    </w:p>
  </w:footnote>
  <w:footnote w:id="30">
    <w:p w14:paraId="7AF1DAEE" w14:textId="77777777" w:rsidR="0004686D" w:rsidRDefault="0004686D" w:rsidP="0004686D">
      <w:pPr>
        <w:pStyle w:val="Footnotes"/>
      </w:pPr>
      <w:r>
        <w:rPr>
          <w:vertAlign w:val="superscript"/>
        </w:rPr>
        <w:footnoteRef/>
      </w:r>
      <w:r>
        <w:t> </w:t>
      </w:r>
      <w:r>
        <w:t xml:space="preserve">On the issue of determination of the proper </w:t>
      </w:r>
      <w:proofErr w:type="gramStart"/>
      <w:r>
        <w:t>amount</w:t>
      </w:r>
      <w:proofErr w:type="gramEnd"/>
      <w:r>
        <w:t xml:space="preserve"> of damages, see Bruce L. Benson, “Restitution in Theory and Practice,” </w:t>
      </w:r>
      <w:r>
        <w:rPr>
          <w:rStyle w:val="italic"/>
        </w:rPr>
        <w:t>J. Libertarian Stud.</w:t>
      </w:r>
      <w:r>
        <w:t xml:space="preserve"> 12, no. 1 (Spring 1996; https://mises.org/library/restitution-theory-and-practice): 79–83; Rothbard, “Punishment and Proportionality,” pp. 88–89. See also references in the preceding note.</w:t>
      </w:r>
    </w:p>
    <w:p w14:paraId="2B68C7AF" w14:textId="77777777" w:rsidR="0004686D" w:rsidRDefault="0004686D" w:rsidP="0004686D">
      <w:pPr>
        <w:pStyle w:val="Footnotes"/>
      </w:pPr>
    </w:p>
  </w:footnote>
  <w:footnote w:id="31">
    <w:p w14:paraId="6DC15BB7" w14:textId="77777777" w:rsidR="0004686D" w:rsidRDefault="0004686D" w:rsidP="0004686D">
      <w:pPr>
        <w:pStyle w:val="Footnotes"/>
      </w:pPr>
      <w:r>
        <w:rPr>
          <w:vertAlign w:val="superscript"/>
        </w:rPr>
        <w:footnoteRef/>
      </w:r>
      <w:r>
        <w:t> </w:t>
      </w:r>
      <w:r>
        <w:t xml:space="preserve">I believe this latter approach is consistent with and supplements Barnett’s theory of a restitution-based justice system, since Barnett nowhere specifies any objective standards or criteria by which a judge or jury is to determine the amount of restitution a victim is to receive for a non-economic crime like murder, rape, and the like. He specifies only that the aggressor must “compensate” the victim for the “harm caused,” to “restore” the victim. Barnett, </w:t>
      </w:r>
      <w:r>
        <w:rPr>
          <w:rStyle w:val="italic"/>
        </w:rPr>
        <w:t>Structure of Liberty</w:t>
      </w:r>
      <w:r>
        <w:t>, pp. 161, 187. Of course, how much compensation is needed to compensate for various violent crimes is a difficult question, and, of course, no amount of restitution can ever “restore” a murdered victim, nor can it “undo” other types of battery.</w:t>
      </w:r>
    </w:p>
    <w:p w14:paraId="2DE85ED6" w14:textId="77777777" w:rsidR="0004686D" w:rsidRDefault="0004686D" w:rsidP="0004686D">
      <w:pPr>
        <w:pStyle w:val="Footnotes"/>
      </w:pPr>
    </w:p>
  </w:footnote>
  <w:footnote w:id="32">
    <w:p w14:paraId="468B0C09" w14:textId="77777777" w:rsidR="0004686D" w:rsidRDefault="0004686D" w:rsidP="0004686D">
      <w:pPr>
        <w:pStyle w:val="Footnotes"/>
      </w:pPr>
      <w:r>
        <w:rPr>
          <w:vertAlign w:val="superscript"/>
        </w:rPr>
        <w:footnoteRef/>
      </w:r>
      <w:r>
        <w:t> </w:t>
      </w:r>
      <w:r>
        <w:t xml:space="preserve">Barnet, </w:t>
      </w:r>
      <w:r>
        <w:rPr>
          <w:rStyle w:val="italic"/>
        </w:rPr>
        <w:t>Structure of Liberty</w:t>
      </w:r>
      <w:r>
        <w:t>, pp. 176–86.</w:t>
      </w:r>
    </w:p>
    <w:p w14:paraId="5F599C5F" w14:textId="77777777" w:rsidR="0004686D" w:rsidRDefault="0004686D" w:rsidP="0004686D">
      <w:pPr>
        <w:pStyle w:val="Footnotes"/>
      </w:pPr>
    </w:p>
  </w:footnote>
  <w:footnote w:id="33">
    <w:p w14:paraId="0BD0BFF5" w14:textId="77777777" w:rsidR="0004686D" w:rsidRDefault="0004686D" w:rsidP="0004686D">
      <w:pPr>
        <w:pStyle w:val="Footnotes"/>
        <w:rPr>
          <w:spacing w:val="2"/>
        </w:rPr>
      </w:pPr>
      <w:r>
        <w:rPr>
          <w:vertAlign w:val="superscript"/>
        </w:rPr>
        <w:footnoteRef/>
      </w:r>
      <w:r>
        <w:rPr>
          <w:spacing w:val="2"/>
        </w:rPr>
        <w:t> </w:t>
      </w:r>
      <w:r>
        <w:rPr>
          <w:spacing w:val="2"/>
        </w:rPr>
        <w:t>Note: although I still believe Smith is wrong about this aspect of inalienability of rights, and that it does not violate the rights of an aggressor for the victim or his agents/heirs to proportionately punish him for his crime (for more on this, see “Defending Argumentation Ethics” (</w:t>
      </w:r>
      <w:proofErr w:type="spellStart"/>
      <w:r>
        <w:rPr>
          <w:spacing w:val="2"/>
        </w:rPr>
        <w:t>ch.</w:t>
      </w:r>
      <w:proofErr w:type="spellEnd"/>
      <w:r>
        <w:rPr>
          <w:spacing w:val="2"/>
        </w:rPr>
        <w:t xml:space="preserve"> 7), text at notes 35–36), I nonetheless sympathize with the idea of a restitution-based system being preferable and even likely in any free society, as noted in “A Libertarian Theory of Punishment and Rights” (</w:t>
      </w:r>
      <w:proofErr w:type="spellStart"/>
      <w:r>
        <w:rPr>
          <w:spacing w:val="2"/>
        </w:rPr>
        <w:t>ch.</w:t>
      </w:r>
      <w:proofErr w:type="spellEnd"/>
      <w:r>
        <w:rPr>
          <w:spacing w:val="2"/>
        </w:rPr>
        <w:t xml:space="preserve"> 5), n.85, and Kinsella, “Fraud, Restitution, and Retaliation: The Libertarian Approach.” For related discussion about disputes in general, see Kinsella, “On the Obligation to Negotiate, Compromise, and Arbitrate.”</w:t>
      </w:r>
    </w:p>
    <w:p w14:paraId="6260CC81" w14:textId="77777777" w:rsidR="0004686D" w:rsidRDefault="0004686D" w:rsidP="0004686D">
      <w:pPr>
        <w:pStyle w:val="Footnotes"/>
      </w:pPr>
    </w:p>
  </w:footnote>
  <w:footnote w:id="34">
    <w:p w14:paraId="36925B0A" w14:textId="5BF4C7BE" w:rsidR="0004686D" w:rsidRDefault="0004686D" w:rsidP="0004686D">
      <w:pPr>
        <w:pStyle w:val="Footnotes"/>
        <w:rPr>
          <w:spacing w:val="1"/>
        </w:rPr>
      </w:pPr>
      <w:r>
        <w:rPr>
          <w:vertAlign w:val="superscript"/>
        </w:rPr>
        <w:footnoteRef/>
      </w:r>
      <w:r>
        <w:rPr>
          <w:spacing w:val="1"/>
        </w:rPr>
        <w:t> </w:t>
      </w:r>
      <w:r>
        <w:rPr>
          <w:spacing w:val="1"/>
        </w:rPr>
        <w:t xml:space="preserve">See, e.g., Barnett, </w:t>
      </w:r>
      <w:r>
        <w:rPr>
          <w:rStyle w:val="italic"/>
          <w:spacing w:val="1"/>
        </w:rPr>
        <w:t>Structure of Liberty</w:t>
      </w:r>
      <w:r>
        <w:rPr>
          <w:spacing w:val="1"/>
        </w:rPr>
        <w:t xml:space="preserve">, pp. 78–83; </w:t>
      </w:r>
      <w:r>
        <w:rPr>
          <w:rStyle w:val="italic"/>
          <w:spacing w:val="1"/>
        </w:rPr>
        <w:t>idem</w:t>
      </w:r>
      <w:r>
        <w:rPr>
          <w:spacing w:val="1"/>
        </w:rPr>
        <w:t xml:space="preserve">, “Contract Remedies and </w:t>
      </w:r>
      <w:r>
        <w:t>Inalienable Rights,” pp. 186–95; Rothbard, “Interpersonal Relations: Voluntary Exchange,”</w:t>
      </w:r>
      <w:r>
        <w:rPr>
          <w:spacing w:val="1"/>
        </w:rPr>
        <w:t xml:space="preserve"> in </w:t>
      </w:r>
      <w:r>
        <w:rPr>
          <w:rStyle w:val="italic"/>
          <w:spacing w:val="1"/>
        </w:rPr>
        <w:t>The Ethics of Liberty</w:t>
      </w:r>
      <w:r>
        <w:rPr>
          <w:spacing w:val="1"/>
        </w:rPr>
        <w:t>, pp. 40–41 (https://mises.org/library/crusoe-social-philosophy) and “Property Rights and the Theory of Contracts,” 134–136 (https://mises.org/library/</w:t>
      </w:r>
      <w:r>
        <w:rPr>
          <w:spacing w:val="2"/>
        </w:rPr>
        <w:t xml:space="preserve">property-rights-and-theory-contracts); Tibor R. Machan, </w:t>
      </w:r>
      <w:r>
        <w:rPr>
          <w:rStyle w:val="italic"/>
          <w:spacing w:val="2"/>
        </w:rPr>
        <w:t>Human Rights and Human Lib</w:t>
      </w:r>
      <w:r>
        <w:rPr>
          <w:rStyle w:val="italic"/>
          <w:spacing w:val="1"/>
        </w:rPr>
        <w:t xml:space="preserve">erties </w:t>
      </w:r>
      <w:r>
        <w:rPr>
          <w:spacing w:val="1"/>
        </w:rPr>
        <w:t xml:space="preserve">(Chicago: Nelson Hall, 1975), pp. 116–17; Smith, “A Killer’s Right to Life,” p. 49; </w:t>
      </w:r>
      <w:r>
        <w:rPr>
          <w:rStyle w:val="italic"/>
          <w:spacing w:val="1"/>
        </w:rPr>
        <w:t>idem</w:t>
      </w:r>
      <w:r>
        <w:rPr>
          <w:spacing w:val="1"/>
        </w:rPr>
        <w:t>, “Inalienable Rights?,” p. 54.</w:t>
      </w:r>
    </w:p>
    <w:p w14:paraId="27BB50DF" w14:textId="77777777" w:rsidR="0004686D" w:rsidRDefault="0004686D" w:rsidP="0004686D">
      <w:pPr>
        <w:pStyle w:val="Footnotes"/>
      </w:pPr>
    </w:p>
  </w:footnote>
  <w:footnote w:id="35">
    <w:p w14:paraId="581A445E" w14:textId="77777777" w:rsidR="0004686D" w:rsidRDefault="0004686D" w:rsidP="0004686D">
      <w:pPr>
        <w:pStyle w:val="Footnotes"/>
      </w:pPr>
      <w:r>
        <w:rPr>
          <w:vertAlign w:val="superscript"/>
        </w:rPr>
        <w:footnoteRef/>
      </w:r>
      <w:r>
        <w:t> </w:t>
      </w:r>
      <w:r>
        <w:t>See note 15 above.</w:t>
      </w:r>
    </w:p>
    <w:p w14:paraId="02BD9D53" w14:textId="77777777" w:rsidR="0004686D" w:rsidRDefault="0004686D" w:rsidP="0004686D">
      <w:pPr>
        <w:pStyle w:val="Footnotes"/>
      </w:pPr>
    </w:p>
  </w:footnote>
  <w:footnote w:id="36">
    <w:p w14:paraId="3F491E18" w14:textId="77777777" w:rsidR="0004686D" w:rsidRDefault="0004686D" w:rsidP="0004686D">
      <w:pPr>
        <w:pStyle w:val="Footnotes"/>
      </w:pPr>
      <w:r>
        <w:rPr>
          <w:vertAlign w:val="superscript"/>
        </w:rPr>
        <w:footnoteRef/>
      </w:r>
      <w:r>
        <w:t> </w:t>
      </w:r>
      <w:r>
        <w:t xml:space="preserve">As Richard Epstein explains, </w:t>
      </w:r>
    </w:p>
    <w:p w14:paraId="73144740" w14:textId="77777777" w:rsidR="0004686D" w:rsidRDefault="0004686D" w:rsidP="0004686D">
      <w:pPr>
        <w:pStyle w:val="FootnoteBlockquotes"/>
        <w:rPr>
          <w:spacing w:val="-1"/>
        </w:rPr>
      </w:pPr>
      <w:r>
        <w:rPr>
          <w:spacing w:val="-1"/>
        </w:rPr>
        <w:t>The case for the recognition of consent as a defense in case of the deliberate infliction of harm can also be made in simple and direct terms. The self-infliction of harm generates no cause of action, no matter why inflicted. There is no reason, then, why a person who may inflict harm upon himself should not, prima facie, be allowed to have someone else do it for him.</w:t>
      </w:r>
    </w:p>
    <w:p w14:paraId="6BFE4C7F" w14:textId="77777777" w:rsidR="0004686D" w:rsidRDefault="0004686D" w:rsidP="0004686D">
      <w:pPr>
        <w:pStyle w:val="Footnotes"/>
        <w:ind w:firstLine="0"/>
        <w:rPr>
          <w:spacing w:val="2"/>
        </w:rPr>
      </w:pPr>
      <w:r>
        <w:rPr>
          <w:spacing w:val="2"/>
        </w:rPr>
        <w:t xml:space="preserve">Richard A. Epstein, “Intentional Harms,” </w:t>
      </w:r>
      <w:r>
        <w:rPr>
          <w:rStyle w:val="italic"/>
          <w:spacing w:val="2"/>
        </w:rPr>
        <w:t>J. Legal Stud.</w:t>
      </w:r>
      <w:r>
        <w:rPr>
          <w:spacing w:val="2"/>
        </w:rPr>
        <w:t xml:space="preserve"> 4 (1975): 391–442, p.411. See also “A Libertarian Theory of Punishment and Rights” (</w:t>
      </w:r>
      <w:proofErr w:type="spellStart"/>
      <w:r>
        <w:rPr>
          <w:spacing w:val="2"/>
        </w:rPr>
        <w:t>ch.</w:t>
      </w:r>
      <w:proofErr w:type="spellEnd"/>
      <w:r>
        <w:rPr>
          <w:spacing w:val="2"/>
        </w:rPr>
        <w:t xml:space="preserve"> 5), Part II. For an unorthodox libertarian view that duelers do not actually “consent” since a duel is only engaged in due to the “threat of disgrace,” see T. Patrick Burke, </w:t>
      </w:r>
      <w:r>
        <w:rPr>
          <w:rStyle w:val="italic"/>
          <w:spacing w:val="2"/>
        </w:rPr>
        <w:t>No Harm: Ethical Principles for a Free Market</w:t>
      </w:r>
      <w:r>
        <w:rPr>
          <w:spacing w:val="2"/>
        </w:rPr>
        <w:t xml:space="preserve"> (New York: Paragon House, 1994), pp. 192, 268 n.15, which I criticize in my “Book Review,” </w:t>
      </w:r>
      <w:r>
        <w:rPr>
          <w:rStyle w:val="italic"/>
          <w:spacing w:val="2"/>
        </w:rPr>
        <w:t>Reason Papers</w:t>
      </w:r>
      <w:r>
        <w:rPr>
          <w:spacing w:val="2"/>
        </w:rPr>
        <w:t xml:space="preserve"> No. 20 (Fall 1995; https://reasonpapers.com/archives/): 135–46, and Kinsella, “‘Aggression’ versus ‘Harm’ in Libertarianism,” </w:t>
      </w:r>
      <w:r>
        <w:rPr>
          <w:rStyle w:val="italic"/>
          <w:spacing w:val="2"/>
        </w:rPr>
        <w:t>Mises Economics Blog</w:t>
      </w:r>
      <w:r>
        <w:rPr>
          <w:spacing w:val="2"/>
        </w:rPr>
        <w:t xml:space="preserve"> (Dec. 16, 2009). See related comments in “A Libertarian Theory of Punishment and Rights” (</w:t>
      </w:r>
      <w:proofErr w:type="spellStart"/>
      <w:r>
        <w:rPr>
          <w:spacing w:val="2"/>
        </w:rPr>
        <w:t>ch.</w:t>
      </w:r>
      <w:proofErr w:type="spellEnd"/>
      <w:r>
        <w:rPr>
          <w:spacing w:val="2"/>
        </w:rPr>
        <w:t xml:space="preserve"> 5), n.16 and “Dialogical Arguments for Libertarian Rights” (</w:t>
      </w:r>
      <w:proofErr w:type="spellStart"/>
      <w:r>
        <w:rPr>
          <w:spacing w:val="2"/>
        </w:rPr>
        <w:t>ch.</w:t>
      </w:r>
      <w:proofErr w:type="spellEnd"/>
      <w:r>
        <w:rPr>
          <w:spacing w:val="2"/>
        </w:rPr>
        <w:t xml:space="preserve"> 6), n.3.</w:t>
      </w:r>
    </w:p>
    <w:p w14:paraId="15C993B5" w14:textId="77777777" w:rsidR="0004686D" w:rsidRDefault="0004686D" w:rsidP="0004686D">
      <w:pPr>
        <w:pStyle w:val="Footnotes"/>
        <w:ind w:firstLine="0"/>
      </w:pPr>
    </w:p>
  </w:footnote>
  <w:footnote w:id="37">
    <w:p w14:paraId="71344C0F" w14:textId="02210ECD" w:rsidR="0004686D" w:rsidRDefault="0004686D" w:rsidP="0004686D">
      <w:pPr>
        <w:pStyle w:val="Footnotes"/>
      </w:pPr>
      <w:r>
        <w:rPr>
          <w:vertAlign w:val="superscript"/>
        </w:rPr>
        <w:footnoteRef/>
      </w:r>
      <w:r>
        <w:t> </w:t>
      </w:r>
      <w:r>
        <w:t>I critique Block’s views in “Selling Does Not Imply Ownership, and Vice-Versa: A Dissection” (</w:t>
      </w:r>
      <w:proofErr w:type="spellStart"/>
      <w:r>
        <w:t>ch.</w:t>
      </w:r>
      <w:proofErr w:type="spellEnd"/>
      <w:r>
        <w:t xml:space="preserve"> 11).</w:t>
      </w:r>
    </w:p>
    <w:p w14:paraId="7E56DC53" w14:textId="77777777" w:rsidR="0004686D" w:rsidRDefault="0004686D" w:rsidP="0004686D">
      <w:pPr>
        <w:pStyle w:val="Footnotes"/>
      </w:pPr>
    </w:p>
  </w:footnote>
  <w:footnote w:id="38">
    <w:p w14:paraId="654F462D" w14:textId="77777777" w:rsidR="0004686D" w:rsidRDefault="0004686D" w:rsidP="0004686D">
      <w:pPr>
        <w:pStyle w:val="Footnotes"/>
      </w:pPr>
      <w:r>
        <w:rPr>
          <w:vertAlign w:val="superscript"/>
        </w:rPr>
        <w:footnoteRef/>
      </w:r>
      <w:r>
        <w:t> </w:t>
      </w:r>
      <w:r>
        <w:t xml:space="preserve">See, e.g., discussions of this in Smith, “Inalienable </w:t>
      </w:r>
      <w:proofErr w:type="gramStart"/>
      <w:r>
        <w:t>Rights?,</w:t>
      </w:r>
      <w:proofErr w:type="gramEnd"/>
      <w:r>
        <w:t>” p. 54:</w:t>
      </w:r>
    </w:p>
    <w:p w14:paraId="2D440716" w14:textId="77777777" w:rsidR="0004686D" w:rsidRDefault="0004686D" w:rsidP="0004686D">
      <w:pPr>
        <w:pStyle w:val="FootnoteBlockquotes"/>
      </w:pPr>
      <w:r>
        <w:t>Moral agency is inalienable, and so must be the right to exercise that agency.… This does not mean, however, that moral agency cannot be extinguished, which brings us to another kind of slavery contract. Suppose that Murphy agrees to have a computer chip implanted in his brain, which will enable me to control him with a joystick, moving him around like a robot. (Perhaps in exchange for this dubious privilege, I have agreed to pay one million dollars to his destitute family.) Here, Murphy has voluntarily extinguished his moral agency, not transferred it to me. What he has transferred is physical control over his body, which becomes my property after he has taken leave of it. Therefore, since the body, like all physical objects, is transferable, I regard this kind of slavery contract as possible and valid.</w:t>
      </w:r>
    </w:p>
    <w:p w14:paraId="25D0AF8F" w14:textId="77777777" w:rsidR="0004686D" w:rsidRDefault="0004686D" w:rsidP="0004686D">
      <w:pPr>
        <w:pStyle w:val="Footnotes"/>
        <w:ind w:firstLine="0"/>
      </w:pPr>
      <w:r>
        <w:t xml:space="preserve">See also Barnett, </w:t>
      </w:r>
      <w:r>
        <w:rPr>
          <w:rStyle w:val="italic"/>
        </w:rPr>
        <w:t>Structure of Liberty</w:t>
      </w:r>
      <w:r>
        <w:t>, 78 &amp; n. 39, who writes:</w:t>
      </w:r>
    </w:p>
    <w:p w14:paraId="51EBCF40" w14:textId="77777777" w:rsidR="0004686D" w:rsidRDefault="0004686D" w:rsidP="0004686D">
      <w:pPr>
        <w:pStyle w:val="FootnoteBlockquotes"/>
        <w:rPr>
          <w:spacing w:val="2"/>
        </w:rPr>
      </w:pPr>
      <w:r>
        <w:rPr>
          <w:spacing w:val="2"/>
        </w:rPr>
        <w:t xml:space="preserve">Suppose that Ann consented to transfer partial or complete control of her body to Ben. Absent some physiological change in Ann (caused, perhaps, by voluntarily and knowingly ingesting some special drug or undergoing </w:t>
      </w:r>
      <w:proofErr w:type="gramStart"/>
      <w:r>
        <w:rPr>
          <w:spacing w:val="2"/>
        </w:rPr>
        <w:t>psycho-surgery</w:t>
      </w:r>
      <w:proofErr w:type="gramEnd"/>
      <w:r>
        <w:rPr>
          <w:spacing w:val="2"/>
        </w:rPr>
        <w:t xml:space="preserve">) there is no way for such a commitment to be carried out.… Arthur </w:t>
      </w:r>
      <w:proofErr w:type="spellStart"/>
      <w:r>
        <w:rPr>
          <w:spacing w:val="2"/>
        </w:rPr>
        <w:t>Kuflik</w:t>
      </w:r>
      <w:proofErr w:type="spellEnd"/>
      <w:r>
        <w:rPr>
          <w:spacing w:val="2"/>
        </w:rPr>
        <w:t xml:space="preserve"> offers these examples to undercut this type of argument for inalienability. See Arthur </w:t>
      </w:r>
      <w:proofErr w:type="spellStart"/>
      <w:r>
        <w:rPr>
          <w:spacing w:val="2"/>
        </w:rPr>
        <w:t>Kuflik</w:t>
      </w:r>
      <w:proofErr w:type="spellEnd"/>
      <w:r>
        <w:rPr>
          <w:spacing w:val="2"/>
        </w:rPr>
        <w:t xml:space="preserve">, “The Inalienability of Autonomy,” </w:t>
      </w:r>
      <w:r>
        <w:rPr>
          <w:rStyle w:val="italic"/>
          <w:spacing w:val="2"/>
        </w:rPr>
        <w:t>Philosophy and Public Affairs</w:t>
      </w:r>
      <w:r>
        <w:rPr>
          <w:spacing w:val="2"/>
        </w:rPr>
        <w:t xml:space="preserve"> 13, no. 4 (1984): 271–98, p. 281: “This suggests that the impropriety of an autonomy-abdicating agreement has more to do with the impropriety of autonomy-abdication itself than with some general fact that we have no right to make commitments we know we will be unable to keep.” But arguments based on </w:t>
      </w:r>
      <w:proofErr w:type="gramStart"/>
      <w:r>
        <w:rPr>
          <w:spacing w:val="2"/>
        </w:rPr>
        <w:t>impropriety</w:t>
      </w:r>
      <w:proofErr w:type="gramEnd"/>
      <w:r>
        <w:rPr>
          <w:spacing w:val="2"/>
        </w:rPr>
        <w:t xml:space="preserve"> and one based on the impossibility of such agreements are not mutually exclusive. </w:t>
      </w:r>
      <w:proofErr w:type="spellStart"/>
      <w:r>
        <w:rPr>
          <w:spacing w:val="2"/>
        </w:rPr>
        <w:t>Kuflik’s</w:t>
      </w:r>
      <w:proofErr w:type="spellEnd"/>
      <w:r>
        <w:rPr>
          <w:spacing w:val="2"/>
        </w:rPr>
        <w:t xml:space="preserve"> examples only show that this reason for inalienability is </w:t>
      </w:r>
      <w:r>
        <w:rPr>
          <w:rStyle w:val="italic"/>
          <w:spacing w:val="2"/>
        </w:rPr>
        <w:t>limited</w:t>
      </w:r>
      <w:r>
        <w:rPr>
          <w:spacing w:val="2"/>
        </w:rPr>
        <w:t xml:space="preserve"> to those commitments to alienate the future control over one’s person which are not made possible by mind-altering drugs, brainwashing techniques, or psychosurgery.</w:t>
      </w:r>
    </w:p>
    <w:p w14:paraId="5E7A9CF8" w14:textId="77777777" w:rsidR="0004686D" w:rsidRDefault="0004686D" w:rsidP="0004686D">
      <w:pPr>
        <w:pStyle w:val="FootnoteBlockquotes"/>
      </w:pPr>
    </w:p>
  </w:footnote>
  <w:footnote w:id="39">
    <w:p w14:paraId="20E4C451" w14:textId="77777777" w:rsidR="0004686D" w:rsidRDefault="0004686D" w:rsidP="0004686D">
      <w:pPr>
        <w:pStyle w:val="Footnotes"/>
      </w:pPr>
      <w:r>
        <w:rPr>
          <w:vertAlign w:val="superscript"/>
        </w:rPr>
        <w:footnoteRef/>
      </w:r>
      <w:r>
        <w:t> </w:t>
      </w:r>
      <w:r>
        <w:t>See note 22 above, and accompanying text.</w:t>
      </w:r>
    </w:p>
    <w:p w14:paraId="034C1253" w14:textId="77777777" w:rsidR="0004686D" w:rsidRDefault="0004686D" w:rsidP="0004686D">
      <w:pPr>
        <w:pStyle w:val="Footnotes"/>
      </w:pPr>
    </w:p>
  </w:footnote>
  <w:footnote w:id="40">
    <w:p w14:paraId="1867A4CA" w14:textId="77777777" w:rsidR="0004686D" w:rsidRDefault="0004686D" w:rsidP="0004686D">
      <w:pPr>
        <w:pStyle w:val="Footnotes"/>
      </w:pPr>
      <w:r>
        <w:rPr>
          <w:vertAlign w:val="superscript"/>
        </w:rPr>
        <w:footnoteRef/>
      </w:r>
      <w:r>
        <w:t> </w:t>
      </w:r>
      <w:r>
        <w:t>See notes 11 and 15 above.</w:t>
      </w:r>
    </w:p>
    <w:p w14:paraId="5B299A6C" w14:textId="77777777" w:rsidR="0004686D" w:rsidRDefault="0004686D" w:rsidP="0004686D">
      <w:pPr>
        <w:pStyle w:val="Footnotes"/>
      </w:pPr>
    </w:p>
  </w:footnote>
  <w:footnote w:id="41">
    <w:p w14:paraId="75D1E81D" w14:textId="0BF9A3AB" w:rsidR="0004686D" w:rsidRDefault="0004686D" w:rsidP="0061561B">
      <w:pPr>
        <w:pStyle w:val="Footnotes"/>
      </w:pPr>
      <w:r>
        <w:rPr>
          <w:vertAlign w:val="superscript"/>
        </w:rPr>
        <w:footnoteRef/>
      </w:r>
      <w:r>
        <w:t> </w:t>
      </w:r>
      <w:r>
        <w:t xml:space="preserve">Barnett, </w:t>
      </w:r>
      <w:r>
        <w:rPr>
          <w:rStyle w:val="italic"/>
        </w:rPr>
        <w:t>Structure of Liberty</w:t>
      </w:r>
      <w:r>
        <w:t xml:space="preserve">, p. 81. Rothbard also realizes the importance of being able to change one’s mind. In a discussion about voluntary slave contracts, he writes: “The problem comes when, at some later date, Smith </w:t>
      </w:r>
      <w:r>
        <w:rPr>
          <w:rStyle w:val="italic"/>
        </w:rPr>
        <w:t>changes his mind</w:t>
      </w:r>
      <w:r>
        <w:t xml:space="preserve"> and decides to leave. Shall he be held to his former voluntary promise?” Rothbard, “Property Rights and the Theory of Contracts,” p. 136 (emphasis added).</w:t>
      </w:r>
    </w:p>
  </w:footnote>
  <w:footnote w:id="42">
    <w:p w14:paraId="12A94659" w14:textId="03089F6E" w:rsidR="0004686D" w:rsidRDefault="0004686D" w:rsidP="0061561B">
      <w:pPr>
        <w:pStyle w:val="Footnotes"/>
      </w:pPr>
      <w:r>
        <w:rPr>
          <w:vertAlign w:val="superscript"/>
        </w:rPr>
        <w:footnoteRef/>
      </w:r>
      <w:r>
        <w:t> </w:t>
      </w:r>
      <w:r>
        <w:t>But see, of course, the dissenting view expressed in chapter 9</w:t>
      </w:r>
      <w:r w:rsidR="0061561B">
        <w:t>.</w:t>
      </w:r>
    </w:p>
  </w:footnote>
  <w:footnote w:id="43">
    <w:p w14:paraId="02FC8107" w14:textId="77777777" w:rsidR="0004686D" w:rsidRDefault="0004686D" w:rsidP="0004686D">
      <w:pPr>
        <w:pStyle w:val="Footnotes"/>
      </w:pPr>
      <w:r>
        <w:rPr>
          <w:vertAlign w:val="superscript"/>
        </w:rPr>
        <w:footnoteRef/>
      </w:r>
      <w:r>
        <w:t> </w:t>
      </w:r>
      <w:r>
        <w:t>A view I criticize in “Selling Does Not Imply Ownership, and Vice-Versa: A Dissection” (</w:t>
      </w:r>
      <w:proofErr w:type="spellStart"/>
      <w:r>
        <w:t>ch.</w:t>
      </w:r>
      <w:proofErr w:type="spellEnd"/>
      <w:r>
        <w:t xml:space="preserve"> 11).</w:t>
      </w:r>
    </w:p>
    <w:p w14:paraId="2BEEA1F7" w14:textId="77777777" w:rsidR="0004686D" w:rsidRDefault="0004686D" w:rsidP="0004686D">
      <w:pPr>
        <w:pStyle w:val="Footnotes"/>
      </w:pPr>
    </w:p>
  </w:footnote>
  <w:footnote w:id="44">
    <w:p w14:paraId="7CC851F4" w14:textId="77777777" w:rsidR="0004686D" w:rsidRDefault="0004686D" w:rsidP="0004686D">
      <w:pPr>
        <w:pStyle w:val="Footnotes"/>
      </w:pPr>
      <w:r>
        <w:rPr>
          <w:vertAlign w:val="superscript"/>
        </w:rPr>
        <w:footnoteRef/>
      </w:r>
      <w:r>
        <w:t> </w:t>
      </w:r>
      <w:r>
        <w:t>See note 34 above; also “A Libertarian Theory of Contract: Title Transfer, Binding Promises, and Inalienability” (</w:t>
      </w:r>
      <w:proofErr w:type="spellStart"/>
      <w:r>
        <w:t>ch.</w:t>
      </w:r>
      <w:proofErr w:type="spellEnd"/>
      <w:r>
        <w:t xml:space="preserve"> 9), Part III.C.</w:t>
      </w:r>
    </w:p>
    <w:p w14:paraId="2BFCEA97" w14:textId="77777777" w:rsidR="0004686D" w:rsidRDefault="0004686D" w:rsidP="0004686D">
      <w:pPr>
        <w:pStyle w:val="Footnotes"/>
      </w:pPr>
    </w:p>
  </w:footnote>
  <w:footnote w:id="45">
    <w:p w14:paraId="20C05A61" w14:textId="77777777" w:rsidR="0004686D" w:rsidRDefault="0004686D" w:rsidP="0004686D">
      <w:pPr>
        <w:pStyle w:val="Footnotes"/>
      </w:pPr>
      <w:r>
        <w:rPr>
          <w:vertAlign w:val="superscript"/>
        </w:rPr>
        <w:footnoteRef/>
      </w:r>
      <w:r>
        <w:t> </w:t>
      </w:r>
      <w:r>
        <w:t>Proponents of the weak view of inalienability, like Walter Block, on the other hand, would argue that the sale of one’s body confers ownership of it to another person and that subsequent violence against the sold body by the new owner is no more aggression than is self-mutilation. I remain to be convinced by this line of argument, primarily because there seems to be a relevant difference between the rights related to one’s body and rights in homesteaded resources, due to the different justifications for and nature of these rights. For more on this, see “Selling Does Not Imply Ownership, and Vice-Versa: A Dissection” (</w:t>
      </w:r>
      <w:proofErr w:type="spellStart"/>
      <w:r>
        <w:t>ch.</w:t>
      </w:r>
      <w:proofErr w:type="spellEnd"/>
      <w:r>
        <w:t xml:space="preserve"> 11).</w:t>
      </w:r>
    </w:p>
    <w:p w14:paraId="0E580592" w14:textId="77777777" w:rsidR="0004686D" w:rsidRDefault="0004686D" w:rsidP="0004686D">
      <w:pPr>
        <w:pStyle w:val="Footnotes"/>
      </w:pPr>
    </w:p>
  </w:footnote>
  <w:footnote w:id="46">
    <w:p w14:paraId="61DA6CB5" w14:textId="396A91DB" w:rsidR="0004686D" w:rsidRDefault="0004686D" w:rsidP="0004686D">
      <w:pPr>
        <w:pStyle w:val="Footnotes"/>
      </w:pPr>
      <w:r>
        <w:rPr>
          <w:vertAlign w:val="superscript"/>
        </w:rPr>
        <w:footnoteRef/>
      </w:r>
      <w:r>
        <w:t> </w:t>
      </w:r>
      <w:r>
        <w:t xml:space="preserve">E.g., an airplane pilot may be forcibly restrained by passengers from parachuting out in mid-flight. See Barnett, </w:t>
      </w:r>
      <w:r>
        <w:rPr>
          <w:rStyle w:val="italic"/>
        </w:rPr>
        <w:t>Structure of Liberty</w:t>
      </w:r>
      <w:r>
        <w:t xml:space="preserve">, p. 81; </w:t>
      </w:r>
      <w:proofErr w:type="gramStart"/>
      <w:r>
        <w:t>also</w:t>
      </w:r>
      <w:proofErr w:type="gramEnd"/>
      <w:r>
        <w:t xml:space="preserve"> </w:t>
      </w:r>
      <w:r>
        <w:rPr>
          <w:rStyle w:val="italic"/>
        </w:rPr>
        <w:t>idem</w:t>
      </w:r>
      <w:r>
        <w:t xml:space="preserve">, “Rights and Remedies in a Consent Theory of Contract,” in R.G. Frey &amp; Christopher W. Morris, eds., </w:t>
      </w:r>
      <w:bookmarkStart w:id="0" w:name="OLE_LINK939"/>
      <w:r w:rsidR="00AE3918" w:rsidRPr="00AE3918">
        <w:rPr>
          <w:i/>
          <w:iCs/>
        </w:rPr>
        <w:t>Liability and Responsibility: Essays in Law and Morals</w:t>
      </w:r>
      <w:bookmarkEnd w:id="0"/>
      <w:r>
        <w:t xml:space="preserve"> (Cambridge University Press, 1991), p. 163 n.52. The reason the parachuting is arguably aggression is that this action can </w:t>
      </w:r>
      <w:proofErr w:type="gramStart"/>
      <w:r>
        <w:t>be considered to be</w:t>
      </w:r>
      <w:proofErr w:type="gramEnd"/>
      <w:r>
        <w:t xml:space="preserve"> the </w:t>
      </w:r>
      <w:r>
        <w:rPr>
          <w:rStyle w:val="italic"/>
        </w:rPr>
        <w:t>cause</w:t>
      </w:r>
      <w:r>
        <w:t xml:space="preserve"> of the physical harm that will befall the passengers, much like one who shoots a gun or drops a bomb is an aggressor. Alternatively, in the airplane example, it could be argued that the ownership of the airplane is contractually granted in common to the passengers for the duration of the flight, and they could thus use force to stop the pilot from opening the door since they “own” it and do not grant him permission to use it for this purpose.</w:t>
      </w:r>
    </w:p>
    <w:p w14:paraId="13893E36" w14:textId="77777777" w:rsidR="0004686D" w:rsidRDefault="0004686D" w:rsidP="0004686D">
      <w:pPr>
        <w:pStyle w:val="Footnotes"/>
      </w:pPr>
      <w:r>
        <w:t>For more on causation, see “Causation and Aggression” (</w:t>
      </w:r>
      <w:proofErr w:type="spellStart"/>
      <w:r>
        <w:t>ch.</w:t>
      </w:r>
      <w:proofErr w:type="spellEnd"/>
      <w:r>
        <w:t xml:space="preserve"> 8). Arguments could be constructed for other special cases, such as agreeing to donate an organ which causes the recipient to rely on </w:t>
      </w:r>
      <w:proofErr w:type="gramStart"/>
      <w:r>
        <w:t>this, or</w:t>
      </w:r>
      <w:proofErr w:type="gramEnd"/>
      <w:r>
        <w:t xml:space="preserve"> enlisting in a volunteer army at a time of peril. I do think there is room for more development of ideas related to such issues by future scholars.</w:t>
      </w:r>
    </w:p>
  </w:footnote>
  <w:footnote w:id="47">
    <w:p w14:paraId="13246B05" w14:textId="77777777" w:rsidR="0004686D" w:rsidRDefault="0004686D" w:rsidP="0004686D">
      <w:pPr>
        <w:pStyle w:val="Footnotes"/>
      </w:pPr>
      <w:r>
        <w:rPr>
          <w:vertAlign w:val="superscript"/>
        </w:rPr>
        <w:footnoteRef/>
      </w:r>
      <w:r>
        <w:t> </w:t>
      </w:r>
      <w:r>
        <w:t>See “A Libertarian Theory of Contract” (</w:t>
      </w:r>
      <w:proofErr w:type="spellStart"/>
      <w:r>
        <w:t>ch.</w:t>
      </w:r>
      <w:proofErr w:type="spellEnd"/>
      <w:r>
        <w:t xml:space="preserve"> 9), at n.40 and accompanying text.</w:t>
      </w:r>
    </w:p>
    <w:p w14:paraId="772A6AA4" w14:textId="77777777" w:rsidR="0004686D" w:rsidRDefault="0004686D" w:rsidP="0004686D">
      <w:pPr>
        <w:pStyle w:val="Footnotes"/>
      </w:pPr>
    </w:p>
  </w:footnote>
  <w:footnote w:id="48">
    <w:p w14:paraId="314A0EE3" w14:textId="70F51B05" w:rsidR="0004686D" w:rsidRDefault="0004686D" w:rsidP="0004686D">
      <w:pPr>
        <w:pStyle w:val="Footnotes"/>
      </w:pPr>
      <w:r>
        <w:rPr>
          <w:vertAlign w:val="superscript"/>
        </w:rPr>
        <w:footnoteRef/>
      </w:r>
      <w:r>
        <w:t> </w:t>
      </w:r>
      <w:r>
        <w:rPr>
          <w:spacing w:val="-1"/>
        </w:rPr>
        <w:t xml:space="preserve">See also Barnett, </w:t>
      </w:r>
      <w:r>
        <w:rPr>
          <w:rStyle w:val="italic"/>
          <w:spacing w:val="-1"/>
        </w:rPr>
        <w:t>Structure of Liberty</w:t>
      </w:r>
      <w:r>
        <w:rPr>
          <w:spacing w:val="-1"/>
        </w:rPr>
        <w:t xml:space="preserve">, p. 82. There has been great confusion </w:t>
      </w:r>
      <w:proofErr w:type="gramStart"/>
      <w:r>
        <w:rPr>
          <w:spacing w:val="-1"/>
        </w:rPr>
        <w:t>in the area of</w:t>
      </w:r>
      <w:proofErr w:type="gramEnd"/>
      <w:r>
        <w:rPr>
          <w:spacing w:val="-1"/>
        </w:rPr>
        <w:t xml:space="preserve"> contract theory, which has perhaps contributed to the confusion in inalienability reasoning.</w:t>
      </w:r>
      <w:r>
        <w:t xml:space="preserve"> For example, the “impossibility” reasoning seems to be based on the groundless assumption that contracts are based on the concept of “binding promises” or on an improper analogy between </w:t>
      </w:r>
      <w:proofErr w:type="spellStart"/>
      <w:r>
        <w:t>homesteadable</w:t>
      </w:r>
      <w:proofErr w:type="spellEnd"/>
      <w:r>
        <w:t xml:space="preserve"> scarce resources, which can be acquired or abandoned, and rights against aggression, which relate to one’s body. However, contracts need have nothing to do with promises, and there is a difference between rights to acquired external resources and rights to one’s body. For more on the libertarian theory of contracts, see Randy E. Barnett, “A Consent Theory of Contract,” </w:t>
      </w:r>
      <w:r>
        <w:rPr>
          <w:rStyle w:val="italic"/>
        </w:rPr>
        <w:t>Colum. L. Rev.</w:t>
      </w:r>
      <w:r>
        <w:t xml:space="preserve"> 86 (1986; www.randybarnett.com/pre-2000): 269; Rothbard, “Property Rights and the Theory of Contracts”; Williamson M. Evers, “Toward a Reformulation of the Law of Contracts,” </w:t>
      </w:r>
      <w:r>
        <w:rPr>
          <w:rStyle w:val="italic"/>
        </w:rPr>
        <w:t>J. Libertarian Stud.</w:t>
      </w:r>
      <w:r>
        <w:t xml:space="preserve"> 1, no. 1 (Winter 1977; https://mises.org/library/toward-reformulation-law-contracts): 3–13. Thus, the framework for rights, punishment, and consent put forward herein also has implications for other aspects of libertarian theory, which cannot be addressed in detail here. For example, the view of the unenforceability of slavery contracts also applies to contracts for personal services, and, indeed, to all promises in general, and thus to the theory of contracts. The theory of detrimental reliance is also relevant here. In my view, promises </w:t>
      </w:r>
      <w:r>
        <w:rPr>
          <w:rStyle w:val="italic"/>
        </w:rPr>
        <w:t>per se</w:t>
      </w:r>
      <w:r>
        <w:t xml:space="preserve"> are not enforceable, and contracts are not best viewed as enforceable promises but as exchanges or alienations of titles to acquired tangible property external to one’s body. Some promises may be enforceable, due to detrimental reliance, but only in cases where the reliance is not </w:t>
      </w:r>
      <w:r>
        <w:rPr>
          <w:spacing w:val="-1"/>
        </w:rPr>
        <w:t>circular, and thus plays a causal role in harming another, and such enforceable promises</w:t>
      </w:r>
      <w:r>
        <w:t xml:space="preserve"> </w:t>
      </w:r>
      <w:r>
        <w:rPr>
          <w:spacing w:val="1"/>
        </w:rPr>
        <w:t xml:space="preserve">are something different from contract itself. This view of contracts, inalienability, and rights </w:t>
      </w:r>
      <w:r>
        <w:t xml:space="preserve">presented herein also has implications for the distinction between the alienability of </w:t>
      </w:r>
      <w:proofErr w:type="spellStart"/>
      <w:r>
        <w:t>homesteadable</w:t>
      </w:r>
      <w:proofErr w:type="spellEnd"/>
      <w:r>
        <w:t xml:space="preserve"> property versus the (limited) inalienability of rights related to one’s body. Elaboration of these ideas will have to await a subsequent article.</w:t>
      </w:r>
    </w:p>
    <w:p w14:paraId="0129F74E" w14:textId="77777777" w:rsidR="0004686D" w:rsidRDefault="0004686D" w:rsidP="0004686D">
      <w:pPr>
        <w:pStyle w:val="Footnotes"/>
      </w:pPr>
      <w:r>
        <w:t xml:space="preserve">Author’s note (2023): I have chosen to retain the above note instead of updating it. The original article was written in 1998–99, when I </w:t>
      </w:r>
      <w:proofErr w:type="gramStart"/>
      <w:r>
        <w:t>anticipated</w:t>
      </w:r>
      <w:proofErr w:type="gramEnd"/>
      <w:r>
        <w:t xml:space="preserve"> I would need to elaborate on these ideas subsequently. This is what I did. The next year, in 1999, I started developing the ideas noted above, which ultimately became “A Libertarian Theory of Contract (</w:t>
      </w:r>
      <w:proofErr w:type="spellStart"/>
      <w:r>
        <w:t>ch.</w:t>
      </w:r>
      <w:proofErr w:type="spellEnd"/>
      <w:r>
        <w:t xml:space="preserve"> 9).</w:t>
      </w:r>
    </w:p>
    <w:p w14:paraId="420120D6" w14:textId="77777777" w:rsidR="0004686D" w:rsidRDefault="0004686D" w:rsidP="0004686D">
      <w:pPr>
        <w:pStyle w:val="Footnotes"/>
      </w:pPr>
    </w:p>
  </w:footnote>
  <w:footnote w:id="49">
    <w:p w14:paraId="40557FBE" w14:textId="77777777" w:rsidR="0004686D" w:rsidRDefault="0004686D" w:rsidP="0004686D">
      <w:pPr>
        <w:pStyle w:val="Footnotes"/>
      </w:pPr>
      <w:r>
        <w:rPr>
          <w:vertAlign w:val="superscript"/>
        </w:rPr>
        <w:footnoteRef/>
      </w:r>
      <w:r>
        <w:t> </w:t>
      </w:r>
      <w:r>
        <w:t xml:space="preserve">Robert LeFevre, </w:t>
      </w:r>
      <w:r>
        <w:rPr>
          <w:rStyle w:val="italic"/>
        </w:rPr>
        <w:t>Fundamentals of Liberty</w:t>
      </w:r>
      <w:r>
        <w:t xml:space="preserve"> (Santa Ana, California: Rampart Institute, 1988; https://archive.org/details/LeFevre-TheFundamentalsOfLiberty), pp. 354–55.</w:t>
      </w:r>
    </w:p>
    <w:p w14:paraId="2B1284B3" w14:textId="77777777" w:rsidR="0004686D" w:rsidRDefault="0004686D" w:rsidP="0004686D">
      <w:pPr>
        <w:pStyle w:val="Footnotes"/>
      </w:pPr>
    </w:p>
  </w:footnote>
  <w:footnote w:id="50">
    <w:p w14:paraId="0079975B" w14:textId="77777777" w:rsidR="0004686D" w:rsidRDefault="0004686D" w:rsidP="0004686D">
      <w:pPr>
        <w:pStyle w:val="Footnotes"/>
      </w:pPr>
      <w:r>
        <w:rPr>
          <w:vertAlign w:val="superscript"/>
        </w:rPr>
        <w:footnoteRef/>
      </w:r>
      <w:r>
        <w:t> </w:t>
      </w:r>
      <w:r>
        <w:t>Rothbard, “Self-Defense,” p. 77.</w:t>
      </w:r>
    </w:p>
    <w:p w14:paraId="53B026BE" w14:textId="77777777" w:rsidR="0004686D" w:rsidRDefault="0004686D" w:rsidP="0004686D">
      <w:pPr>
        <w:pStyle w:val="Footnotes"/>
      </w:pPr>
    </w:p>
  </w:footnote>
  <w:footnote w:id="51">
    <w:p w14:paraId="27CB3911" w14:textId="77777777" w:rsidR="0004686D" w:rsidRDefault="0004686D" w:rsidP="0004686D">
      <w:pPr>
        <w:pStyle w:val="Footnotes"/>
      </w:pPr>
      <w:r>
        <w:rPr>
          <w:vertAlign w:val="superscript"/>
        </w:rPr>
        <w:footnoteRef/>
      </w:r>
      <w:r>
        <w:t> </w:t>
      </w:r>
      <w:r>
        <w:t xml:space="preserve">Todd Lewis, “Protection, Defense, Retaliation, and Self-Ownership,” </w:t>
      </w:r>
      <w:r>
        <w:rPr>
          <w:rStyle w:val="italic"/>
        </w:rPr>
        <w:t>Libertarian Christian Institute</w:t>
      </w:r>
      <w:r>
        <w:t xml:space="preserve"> (July 11, 2021; https://perma.cc/9SB2-XJC7).</w:t>
      </w:r>
    </w:p>
    <w:p w14:paraId="3A5911A6" w14:textId="77777777" w:rsidR="0004686D" w:rsidRDefault="0004686D" w:rsidP="0004686D">
      <w:pPr>
        <w:pStyle w:val="Footnotes"/>
      </w:pPr>
    </w:p>
  </w:footnote>
  <w:footnote w:id="52">
    <w:p w14:paraId="0606EA4B" w14:textId="77777777" w:rsidR="0004686D" w:rsidRDefault="0004686D" w:rsidP="0004686D">
      <w:pPr>
        <w:pStyle w:val="Footnotes"/>
      </w:pPr>
      <w:r>
        <w:rPr>
          <w:vertAlign w:val="superscript"/>
        </w:rPr>
        <w:footnoteRef/>
      </w:r>
      <w:r>
        <w:t> </w:t>
      </w:r>
      <w:r>
        <w:rPr>
          <w:spacing w:val="-1"/>
        </w:rPr>
        <w:t>Lewis did not respond to an email I sent him asking for further clarification or support of his accusation of LeFevre</w:t>
      </w:r>
      <w:r>
        <w:t>.</w:t>
      </w:r>
    </w:p>
    <w:p w14:paraId="525702AE" w14:textId="77777777" w:rsidR="0004686D" w:rsidRDefault="0004686D" w:rsidP="0004686D">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86D"/>
    <w:rsid w:val="0004686D"/>
    <w:rsid w:val="00517711"/>
    <w:rsid w:val="005D3E42"/>
    <w:rsid w:val="0061561B"/>
    <w:rsid w:val="00650923"/>
    <w:rsid w:val="00773BAD"/>
    <w:rsid w:val="00867903"/>
    <w:rsid w:val="00975CD6"/>
    <w:rsid w:val="00AD3865"/>
    <w:rsid w:val="00AE3918"/>
    <w:rsid w:val="00B84D57"/>
    <w:rsid w:val="00B95331"/>
    <w:rsid w:val="00CE6FBD"/>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EC6412"/>
  <w14:defaultImageDpi w14:val="32767"/>
  <w15:chartTrackingRefBased/>
  <w15:docId w15:val="{6A1D9C41-091A-FE4B-8C09-1E280F19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8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68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68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68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68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86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86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86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86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8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68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68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68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68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8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8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8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86D"/>
    <w:rPr>
      <w:rFonts w:eastAsiaTheme="majorEastAsia" w:cstheme="majorBidi"/>
      <w:color w:val="272727" w:themeColor="text1" w:themeTint="D8"/>
    </w:rPr>
  </w:style>
  <w:style w:type="paragraph" w:styleId="Title">
    <w:name w:val="Title"/>
    <w:basedOn w:val="Normal"/>
    <w:next w:val="Normal"/>
    <w:link w:val="TitleChar"/>
    <w:uiPriority w:val="10"/>
    <w:qFormat/>
    <w:rsid w:val="000468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8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86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8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8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686D"/>
    <w:rPr>
      <w:i/>
      <w:iCs/>
      <w:color w:val="404040" w:themeColor="text1" w:themeTint="BF"/>
    </w:rPr>
  </w:style>
  <w:style w:type="paragraph" w:styleId="ListParagraph">
    <w:name w:val="List Paragraph"/>
    <w:basedOn w:val="Normal"/>
    <w:uiPriority w:val="34"/>
    <w:qFormat/>
    <w:rsid w:val="0004686D"/>
    <w:pPr>
      <w:ind w:left="720"/>
      <w:contextualSpacing/>
    </w:pPr>
  </w:style>
  <w:style w:type="character" w:styleId="IntenseEmphasis">
    <w:name w:val="Intense Emphasis"/>
    <w:basedOn w:val="DefaultParagraphFont"/>
    <w:uiPriority w:val="21"/>
    <w:qFormat/>
    <w:rsid w:val="0004686D"/>
    <w:rPr>
      <w:i/>
      <w:iCs/>
      <w:color w:val="0F4761" w:themeColor="accent1" w:themeShade="BF"/>
    </w:rPr>
  </w:style>
  <w:style w:type="paragraph" w:styleId="IntenseQuote">
    <w:name w:val="Intense Quote"/>
    <w:basedOn w:val="Normal"/>
    <w:next w:val="Normal"/>
    <w:link w:val="IntenseQuoteChar"/>
    <w:uiPriority w:val="30"/>
    <w:qFormat/>
    <w:rsid w:val="000468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86D"/>
    <w:rPr>
      <w:i/>
      <w:iCs/>
      <w:color w:val="0F4761" w:themeColor="accent1" w:themeShade="BF"/>
    </w:rPr>
  </w:style>
  <w:style w:type="character" w:styleId="IntenseReference">
    <w:name w:val="Intense Reference"/>
    <w:basedOn w:val="DefaultParagraphFont"/>
    <w:uiPriority w:val="32"/>
    <w:qFormat/>
    <w:rsid w:val="0004686D"/>
    <w:rPr>
      <w:b/>
      <w:bCs/>
      <w:smallCaps/>
      <w:color w:val="0F4761" w:themeColor="accent1" w:themeShade="BF"/>
      <w:spacing w:val="5"/>
    </w:rPr>
  </w:style>
  <w:style w:type="paragraph" w:customStyle="1" w:styleId="ChapterNumbers">
    <w:name w:val="Chapter Numbers"/>
    <w:basedOn w:val="Normal"/>
    <w:uiPriority w:val="99"/>
    <w:rsid w:val="0004686D"/>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04686D"/>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04686D"/>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04686D"/>
    <w:rPr>
      <w:i/>
      <w:iCs/>
    </w:rPr>
  </w:style>
  <w:style w:type="paragraph" w:customStyle="1" w:styleId="Footnotes">
    <w:name w:val="Footnotes"/>
    <w:basedOn w:val="Normal"/>
    <w:uiPriority w:val="99"/>
    <w:rsid w:val="0004686D"/>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body">
    <w:name w:val="body"/>
    <w:basedOn w:val="Normal"/>
    <w:uiPriority w:val="99"/>
    <w:rsid w:val="0004686D"/>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04686D"/>
    <w:pPr>
      <w:ind w:firstLine="0"/>
    </w:pPr>
  </w:style>
  <w:style w:type="paragraph" w:customStyle="1" w:styleId="Subheads">
    <w:name w:val="Subheads"/>
    <w:basedOn w:val="ChapterTitles"/>
    <w:uiPriority w:val="99"/>
    <w:rsid w:val="0004686D"/>
    <w:pPr>
      <w:spacing w:before="720" w:after="180" w:line="280" w:lineRule="atLeast"/>
    </w:pPr>
    <w:rPr>
      <w:caps/>
      <w:spacing w:val="4"/>
      <w:sz w:val="24"/>
      <w:szCs w:val="24"/>
    </w:rPr>
  </w:style>
  <w:style w:type="paragraph" w:customStyle="1" w:styleId="blockquote">
    <w:name w:val="blockquote"/>
    <w:basedOn w:val="body"/>
    <w:uiPriority w:val="99"/>
    <w:rsid w:val="0004686D"/>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04686D"/>
    <w:pPr>
      <w:ind w:left="270" w:right="270" w:firstLine="0"/>
    </w:pPr>
    <w:rPr>
      <w:spacing w:val="1"/>
    </w:rPr>
  </w:style>
  <w:style w:type="character" w:customStyle="1" w:styleId="FootnoteInTextNumber">
    <w:name w:val="Footnote InText Number"/>
    <w:uiPriority w:val="99"/>
    <w:rsid w:val="0004686D"/>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4652</Words>
  <Characters>26518</Characters>
  <Application>Microsoft Office Word</Application>
  <DocSecurity>0</DocSecurity>
  <Lines>220</Lines>
  <Paragraphs>62</Paragraphs>
  <ScaleCrop>false</ScaleCrop>
  <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4</cp:revision>
  <dcterms:created xsi:type="dcterms:W3CDTF">2024-12-31T17:12:00Z</dcterms:created>
  <dcterms:modified xsi:type="dcterms:W3CDTF">2025-03-31T18:22:00Z</dcterms:modified>
</cp:coreProperties>
</file>