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D2DBA" w14:textId="77777777" w:rsidR="00F64C2B" w:rsidRDefault="00F64C2B" w:rsidP="00F64C2B">
      <w:pPr>
        <w:pStyle w:val="ChapterNumbers"/>
      </w:pPr>
      <w:r>
        <w:t>12</w:t>
      </w:r>
    </w:p>
    <w:p w14:paraId="45CF85FC" w14:textId="77777777" w:rsidR="00F64C2B" w:rsidRDefault="00F64C2B" w:rsidP="00F64C2B">
      <w:pPr>
        <w:pStyle w:val="ChapterTitles"/>
        <w:rPr>
          <w:vertAlign w:val="superscript"/>
        </w:rPr>
      </w:pPr>
      <w:r>
        <w:t>Reply to Van Dun: Non-Aggression and Title Transfer</w:t>
      </w:r>
      <w:r>
        <w:rPr>
          <w:vertAlign w:val="superscript"/>
        </w:rPr>
        <w:t>*</w:t>
      </w:r>
    </w:p>
    <w:p w14:paraId="0201966E" w14:textId="77777777" w:rsidR="00F64C2B" w:rsidRDefault="00F64C2B" w:rsidP="00F64C2B">
      <w:pPr>
        <w:pStyle w:val="Footnotes"/>
        <w:tabs>
          <w:tab w:val="left" w:pos="360"/>
        </w:tabs>
        <w:rPr>
          <w:spacing w:val="5"/>
          <w:sz w:val="20"/>
          <w:szCs w:val="20"/>
          <w:vertAlign w:val="superscript"/>
        </w:rPr>
      </w:pPr>
    </w:p>
    <w:p w14:paraId="706F8D39" w14:textId="77777777" w:rsidR="00F64C2B" w:rsidRDefault="00F64C2B" w:rsidP="00F64C2B">
      <w:pPr>
        <w:pStyle w:val="Footnotes"/>
        <w:tabs>
          <w:tab w:val="left" w:pos="360"/>
        </w:tabs>
        <w:rPr>
          <w:spacing w:val="5"/>
          <w:sz w:val="20"/>
          <w:szCs w:val="20"/>
          <w:vertAlign w:val="superscript"/>
        </w:rPr>
      </w:pPr>
    </w:p>
    <w:p w14:paraId="5565180D" w14:textId="11F49E74" w:rsidR="00F64C2B" w:rsidRDefault="00F64C2B" w:rsidP="00F64C2B">
      <w:pPr>
        <w:pStyle w:val="Footnotes"/>
        <w:tabs>
          <w:tab w:val="left" w:pos="360"/>
        </w:tabs>
        <w:rPr>
          <w:spacing w:val="4"/>
        </w:rPr>
      </w:pPr>
      <w:r>
        <w:rPr>
          <w:spacing w:val="5"/>
          <w:sz w:val="20"/>
          <w:szCs w:val="20"/>
          <w:vertAlign w:val="superscript"/>
        </w:rPr>
        <w:t>*</w:t>
      </w:r>
      <w:r>
        <w:rPr>
          <w:spacing w:val="1"/>
        </w:rPr>
        <w:tab/>
      </w:r>
      <w:r>
        <w:rPr>
          <w:spacing w:val="4"/>
        </w:rPr>
        <w:t xml:space="preserve">Originally published as Kinsella, “Reply to Van Dun: Non-Aggression and Title Transfer,” </w:t>
      </w:r>
      <w:r>
        <w:rPr>
          <w:rStyle w:val="italic"/>
          <w:spacing w:val="4"/>
        </w:rPr>
        <w:t>J. Libertarian Stud.</w:t>
      </w:r>
      <w:r>
        <w:rPr>
          <w:spacing w:val="4"/>
        </w:rPr>
        <w:t xml:space="preserve"> 18, no. 2 (Spring 2004): 55–64.</w:t>
      </w:r>
    </w:p>
    <w:p w14:paraId="70686897" w14:textId="77777777" w:rsidR="00867903" w:rsidRDefault="00867903"/>
    <w:p w14:paraId="2B81CA00" w14:textId="77777777" w:rsidR="00F64C2B" w:rsidRPr="00F64C2B" w:rsidRDefault="00F64C2B" w:rsidP="00F64C2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4C2B">
        <w:rPr>
          <w:rFonts w:ascii="Adobe Caslon Pro" w:hAnsi="Adobe Caslon Pro" w:cs="Adobe Caslon Pro"/>
          <w:color w:val="000000"/>
          <w:kern w:val="0"/>
          <w:sz w:val="23"/>
          <w:szCs w:val="23"/>
        </w:rPr>
        <w:t xml:space="preserve">In a recent issue of </w:t>
      </w:r>
      <w:r w:rsidRPr="00F64C2B">
        <w:rPr>
          <w:rFonts w:ascii="Adobe Caslon Pro" w:hAnsi="Adobe Caslon Pro" w:cs="Adobe Caslon Pro"/>
          <w:i/>
          <w:iCs/>
          <w:color w:val="000000"/>
          <w:kern w:val="0"/>
          <w:sz w:val="23"/>
          <w:szCs w:val="23"/>
        </w:rPr>
        <w:t>The Journal of Libertarian Studies</w:t>
      </w:r>
      <w:r w:rsidRPr="00F64C2B">
        <w:rPr>
          <w:rFonts w:ascii="Adobe Caslon Pro" w:hAnsi="Adobe Caslon Pro" w:cs="Adobe Caslon Pro"/>
          <w:color w:val="000000"/>
          <w:kern w:val="0"/>
          <w:sz w:val="23"/>
          <w:szCs w:val="23"/>
        </w:rPr>
        <w:t>, Fran van Dun commented on my views on intellectual property and Walter Block’s views on blackmail.</w:t>
      </w:r>
      <w:r w:rsidRPr="00F64C2B">
        <w:rPr>
          <w:rFonts w:ascii="Adobe Caslon Pro" w:hAnsi="Adobe Caslon Pro" w:cs="Adobe Caslon Pro"/>
          <w:color w:val="000000"/>
          <w:kern w:val="0"/>
          <w:position w:val="2"/>
          <w:sz w:val="20"/>
          <w:szCs w:val="20"/>
          <w:vertAlign w:val="superscript"/>
        </w:rPr>
        <w:footnoteReference w:id="1"/>
      </w:r>
      <w:r w:rsidRPr="00F64C2B">
        <w:rPr>
          <w:rFonts w:ascii="Adobe Caslon Pro" w:hAnsi="Adobe Caslon Pro" w:cs="Adobe Caslon Pro"/>
          <w:color w:val="000000"/>
          <w:kern w:val="0"/>
          <w:sz w:val="23"/>
          <w:szCs w:val="23"/>
        </w:rPr>
        <w:t xml:space="preserve"> In this reply, I will concentrate on two aspects of Van Dun’s comments: the non-aggression principle and libertarianism, and trademark and contract.</w:t>
      </w:r>
    </w:p>
    <w:p w14:paraId="2D2F334C" w14:textId="77777777" w:rsidR="00F64C2B" w:rsidRPr="00F64C2B" w:rsidRDefault="00F64C2B" w:rsidP="00F64C2B">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64C2B">
        <w:rPr>
          <w:rFonts w:ascii="Le Monde Livre Cla Std Book" w:hAnsi="Le Monde Livre Cla Std Book" w:cs="Le Monde Livre Cla Std Book"/>
          <w:caps/>
          <w:color w:val="000000"/>
          <w:spacing w:val="4"/>
          <w:kern w:val="0"/>
        </w:rPr>
        <w:t xml:space="preserve">THE NON-AGGRESSION PRINCIPLE </w:t>
      </w:r>
      <w:r w:rsidRPr="00F64C2B">
        <w:rPr>
          <w:rFonts w:ascii="Le Monde Livre Cla Std Book" w:hAnsi="Le Monde Livre Cla Std Book" w:cs="Le Monde Livre Cla Std Book"/>
          <w:caps/>
          <w:color w:val="000000"/>
          <w:spacing w:val="4"/>
          <w:kern w:val="0"/>
        </w:rPr>
        <w:br/>
        <w:t>AND LIBERTARIANISM</w:t>
      </w:r>
    </w:p>
    <w:p w14:paraId="06CFC786" w14:textId="77777777" w:rsidR="00F64C2B" w:rsidRPr="00F64C2B" w:rsidRDefault="00F64C2B" w:rsidP="00F64C2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64C2B">
        <w:rPr>
          <w:rFonts w:ascii="Adobe Caslon Pro" w:hAnsi="Adobe Caslon Pro" w:cs="Adobe Caslon Pro"/>
          <w:color w:val="000000"/>
          <w:spacing w:val="-1"/>
          <w:kern w:val="0"/>
          <w:sz w:val="23"/>
          <w:szCs w:val="23"/>
        </w:rPr>
        <w:t>Van Dun criticizes Block and me for using “the so-called Rothbardian non-aggression rule as the foundation or axiom for libertarian jurisprudence.” For although “[n]on-aggression is an important and valid rule of libertarian jurisprudence,” it is “inadequate from a libertarian point of view.” Rather than being the foundation of libertarian theory, Van Dun argues, it is only an implication of the libertarian philosophy of law.</w:t>
      </w:r>
      <w:r w:rsidRPr="00F64C2B">
        <w:rPr>
          <w:rFonts w:ascii="Adobe Caslon Pro" w:hAnsi="Adobe Caslon Pro" w:cs="Adobe Caslon Pro"/>
          <w:color w:val="000000"/>
          <w:spacing w:val="-1"/>
          <w:kern w:val="0"/>
          <w:position w:val="2"/>
          <w:sz w:val="20"/>
          <w:szCs w:val="20"/>
          <w:vertAlign w:val="superscript"/>
        </w:rPr>
        <w:footnoteReference w:id="2"/>
      </w:r>
      <w:r w:rsidRPr="00F64C2B">
        <w:rPr>
          <w:rFonts w:ascii="Adobe Caslon Pro" w:hAnsi="Adobe Caslon Pro" w:cs="Adobe Caslon Pro"/>
          <w:color w:val="000000"/>
          <w:spacing w:val="-1"/>
          <w:kern w:val="0"/>
          <w:sz w:val="23"/>
          <w:szCs w:val="23"/>
        </w:rPr>
        <w:t xml:space="preserve"> </w:t>
      </w:r>
    </w:p>
    <w:p w14:paraId="6C261C25" w14:textId="77777777" w:rsidR="00F64C2B" w:rsidRPr="00F64C2B" w:rsidRDefault="00F64C2B" w:rsidP="00F64C2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4C2B">
        <w:rPr>
          <w:rFonts w:ascii="Adobe Caslon Pro" w:hAnsi="Adobe Caslon Pro" w:cs="Adobe Caslon Pro"/>
          <w:color w:val="000000"/>
          <w:spacing w:val="-1"/>
          <w:kern w:val="0"/>
          <w:sz w:val="23"/>
          <w:szCs w:val="23"/>
        </w:rPr>
        <w:t>After such a claim, one might expect Van Dun to provide a critique or denial of the principle of non-aggression followed by an explanation of the contours of the proper theory of law. However, Van Dun seems to accept the non-aggression rule. He uses the concept of “aggression in the traditional sense of a physically invasive, non-defensive use of force (violence) against another person or his property,”</w:t>
      </w:r>
      <w:r w:rsidRPr="00F64C2B">
        <w:rPr>
          <w:rFonts w:ascii="Adobe Caslon Pro" w:hAnsi="Adobe Caslon Pro" w:cs="Adobe Caslon Pro"/>
          <w:color w:val="000000"/>
          <w:spacing w:val="-1"/>
          <w:kern w:val="0"/>
          <w:position w:val="2"/>
          <w:sz w:val="20"/>
          <w:szCs w:val="20"/>
          <w:vertAlign w:val="superscript"/>
        </w:rPr>
        <w:footnoteReference w:id="3"/>
      </w:r>
      <w:r w:rsidRPr="00F64C2B">
        <w:rPr>
          <w:rFonts w:ascii="Adobe Caslon Pro" w:hAnsi="Adobe Caslon Pro" w:cs="Adobe Caslon Pro"/>
          <w:color w:val="000000"/>
          <w:spacing w:val="-1"/>
          <w:kern w:val="0"/>
          <w:sz w:val="23"/>
          <w:szCs w:val="23"/>
        </w:rPr>
        <w:t xml:space="preserve"> just as Rothbardians do. He writes: </w:t>
      </w:r>
    </w:p>
    <w:p w14:paraId="0D12A7B0" w14:textId="77777777" w:rsidR="00F64C2B" w:rsidRPr="00F64C2B" w:rsidRDefault="00F64C2B" w:rsidP="00F64C2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F64C2B">
        <w:rPr>
          <w:rFonts w:ascii="Adobe Caslon Pro" w:hAnsi="Adobe Caslon Pro" w:cs="Adobe Caslon Pro"/>
          <w:color w:val="000000"/>
          <w:spacing w:val="-1"/>
          <w:kern w:val="0"/>
          <w:sz w:val="20"/>
          <w:szCs w:val="20"/>
        </w:rPr>
        <w:t xml:space="preserve">I have no problem with the thesis that, in a libertarian legal order, no individual or group—least of all those who are engaged in the administration of justice—should aggress against any person or any person’s property. Aggression, in the libertarian sense of the word, is the physical invasion of another person’s domain without that person’s consent and without lawful justification. As such, aggression is unlawful and should therefore be illegal in a libertarian legal order (because such an order is intended to be as true to law as is humanly possible). Nor do I have a problem with the thesis that violent border crossings are lawful and therefore legally permissible if and only if they are committed in </w:t>
      </w:r>
      <w:proofErr w:type="spellStart"/>
      <w:r w:rsidRPr="00F64C2B">
        <w:rPr>
          <w:rFonts w:ascii="Adobe Caslon Pro" w:hAnsi="Adobe Caslon Pro" w:cs="Adobe Caslon Pro"/>
          <w:color w:val="000000"/>
          <w:spacing w:val="-1"/>
          <w:kern w:val="0"/>
          <w:sz w:val="20"/>
          <w:szCs w:val="20"/>
        </w:rPr>
        <w:t>self-defence</w:t>
      </w:r>
      <w:proofErr w:type="spellEnd"/>
      <w:r w:rsidRPr="00F64C2B">
        <w:rPr>
          <w:rFonts w:ascii="Adobe Caslon Pro" w:hAnsi="Adobe Caslon Pro" w:cs="Adobe Caslon Pro"/>
          <w:color w:val="000000"/>
          <w:spacing w:val="-1"/>
          <w:kern w:val="0"/>
          <w:sz w:val="20"/>
          <w:szCs w:val="20"/>
        </w:rPr>
        <w:t xml:space="preserve">, to bring a criminal to justice, or to exact restitution or </w:t>
      </w:r>
      <w:r w:rsidRPr="00F64C2B">
        <w:rPr>
          <w:rFonts w:ascii="Adobe Caslon Pro" w:hAnsi="Adobe Caslon Pro" w:cs="Adobe Caslon Pro"/>
          <w:color w:val="000000"/>
          <w:spacing w:val="-1"/>
          <w:kern w:val="0"/>
          <w:sz w:val="20"/>
          <w:szCs w:val="20"/>
        </w:rPr>
        <w:lastRenderedPageBreak/>
        <w:t>compensation for an unlawfully inflicted harm. They are permissible to the extent that they are themselves compatible with the requirements of justice.</w:t>
      </w:r>
      <w:r w:rsidRPr="00F64C2B">
        <w:rPr>
          <w:rFonts w:ascii="Adobe Caslon Pro" w:hAnsi="Adobe Caslon Pro" w:cs="Adobe Caslon Pro"/>
          <w:color w:val="000000"/>
          <w:spacing w:val="-1"/>
          <w:kern w:val="0"/>
          <w:position w:val="2"/>
          <w:sz w:val="20"/>
          <w:szCs w:val="20"/>
          <w:vertAlign w:val="superscript"/>
        </w:rPr>
        <w:footnoteReference w:id="4"/>
      </w:r>
      <w:r w:rsidRPr="00F64C2B">
        <w:rPr>
          <w:rFonts w:ascii="Adobe Caslon Pro" w:hAnsi="Adobe Caslon Pro" w:cs="Adobe Caslon Pro"/>
          <w:color w:val="000000"/>
          <w:spacing w:val="-1"/>
          <w:kern w:val="0"/>
          <w:sz w:val="20"/>
          <w:szCs w:val="20"/>
        </w:rPr>
        <w:t xml:space="preserve"> </w:t>
      </w:r>
    </w:p>
    <w:p w14:paraId="1FB7C229" w14:textId="77777777" w:rsidR="00F64C2B" w:rsidRPr="00F64C2B" w:rsidRDefault="00F64C2B" w:rsidP="00F64C2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4C2B">
        <w:rPr>
          <w:rFonts w:ascii="Adobe Caslon Pro" w:hAnsi="Adobe Caslon Pro" w:cs="Adobe Caslon Pro"/>
          <w:color w:val="000000"/>
          <w:kern w:val="0"/>
          <w:sz w:val="23"/>
          <w:szCs w:val="23"/>
        </w:rPr>
        <w:t xml:space="preserve">However: </w:t>
      </w:r>
    </w:p>
    <w:p w14:paraId="67A073B6" w14:textId="77777777" w:rsidR="00F64C2B" w:rsidRPr="00F64C2B" w:rsidRDefault="00F64C2B" w:rsidP="00F64C2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F64C2B">
        <w:rPr>
          <w:rFonts w:ascii="Adobe Caslon Pro" w:hAnsi="Adobe Caslon Pro" w:cs="Adobe Caslon Pro"/>
          <w:color w:val="000000"/>
          <w:kern w:val="0"/>
          <w:sz w:val="20"/>
          <w:szCs w:val="20"/>
        </w:rPr>
        <w:t>It does not follow from those theses that defensive use of force is justified or lawful only in response to aggressive violent invasions of persons or property. It does not follow that only aggression against another person or his property is unlawful. There may be unlawful acts that are not invasions of a person’s physical domain, yet justify the defensive use of force to prevent, stop, or exact compensation for such acts.</w:t>
      </w:r>
      <w:r w:rsidRPr="00F64C2B">
        <w:rPr>
          <w:rFonts w:ascii="Adobe Caslon Pro" w:hAnsi="Adobe Caslon Pro" w:cs="Adobe Caslon Pro"/>
          <w:color w:val="000000"/>
          <w:kern w:val="0"/>
          <w:position w:val="2"/>
          <w:sz w:val="20"/>
          <w:szCs w:val="20"/>
          <w:vertAlign w:val="superscript"/>
        </w:rPr>
        <w:footnoteReference w:id="5"/>
      </w:r>
      <w:r w:rsidRPr="00F64C2B">
        <w:rPr>
          <w:rFonts w:ascii="Adobe Caslon Pro" w:hAnsi="Adobe Caslon Pro" w:cs="Adobe Caslon Pro"/>
          <w:color w:val="000000"/>
          <w:kern w:val="0"/>
          <w:sz w:val="20"/>
          <w:szCs w:val="20"/>
        </w:rPr>
        <w:t xml:space="preserve"> </w:t>
      </w:r>
    </w:p>
    <w:p w14:paraId="1183FEA3" w14:textId="77777777" w:rsidR="00F64C2B" w:rsidRPr="00F64C2B" w:rsidRDefault="00F64C2B" w:rsidP="00F64C2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4C2B">
        <w:rPr>
          <w:rFonts w:ascii="Adobe Caslon Pro" w:hAnsi="Adobe Caslon Pro" w:cs="Adobe Caslon Pro"/>
          <w:color w:val="000000"/>
          <w:kern w:val="0"/>
          <w:sz w:val="23"/>
          <w:szCs w:val="23"/>
        </w:rPr>
        <w:t>Van Dun goes on to state even more explicitly his view of the relation between aggression and what is properly regarded as “unlawful”:</w:t>
      </w:r>
    </w:p>
    <w:p w14:paraId="0FCC6DD0" w14:textId="77777777" w:rsidR="00F64C2B" w:rsidRPr="00F64C2B" w:rsidRDefault="00F64C2B" w:rsidP="00F64C2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F64C2B">
        <w:rPr>
          <w:rFonts w:ascii="Adobe Caslon Pro" w:hAnsi="Adobe Caslon Pro" w:cs="Adobe Caslon Pro"/>
          <w:color w:val="000000"/>
          <w:kern w:val="0"/>
          <w:sz w:val="20"/>
          <w:szCs w:val="20"/>
        </w:rPr>
        <w:t xml:space="preserve">Block and Kinsella proceed with their arguments on the supposition that such acts are not unlawful because they are not aggressions. Accordingly, they also suppose that the use of force in retaliation against such acts must itself be an aggression, and therefore unlawful. </w:t>
      </w:r>
      <w:r w:rsidRPr="00F64C2B">
        <w:rPr>
          <w:rFonts w:ascii="Adobe Caslon Pro" w:hAnsi="Adobe Caslon Pro" w:cs="Adobe Caslon Pro"/>
          <w:i/>
          <w:iCs/>
          <w:color w:val="000000"/>
          <w:kern w:val="0"/>
          <w:sz w:val="20"/>
          <w:szCs w:val="20"/>
        </w:rPr>
        <w:t>In their system of thought, the dichotomy of aggression and non-aggression coincides with the logical opposition between unlawful and lawful acts.</w:t>
      </w:r>
      <w:r w:rsidRPr="00F64C2B">
        <w:rPr>
          <w:rFonts w:ascii="Adobe Caslon Pro" w:hAnsi="Adobe Caslon Pro" w:cs="Adobe Caslon Pro"/>
          <w:color w:val="000000"/>
          <w:kern w:val="0"/>
          <w:position w:val="2"/>
          <w:sz w:val="20"/>
          <w:szCs w:val="20"/>
          <w:vertAlign w:val="superscript"/>
        </w:rPr>
        <w:footnoteReference w:id="6"/>
      </w:r>
      <w:r w:rsidRPr="00F64C2B">
        <w:rPr>
          <w:rFonts w:ascii="Adobe Caslon Pro" w:hAnsi="Adobe Caslon Pro" w:cs="Adobe Caslon Pro"/>
          <w:color w:val="000000"/>
          <w:kern w:val="0"/>
          <w:sz w:val="20"/>
          <w:szCs w:val="20"/>
        </w:rPr>
        <w:t xml:space="preserve"> </w:t>
      </w:r>
    </w:p>
    <w:p w14:paraId="309D79B0" w14:textId="77777777" w:rsidR="00F64C2B" w:rsidRPr="00F64C2B" w:rsidRDefault="00F64C2B" w:rsidP="00F64C2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4C2B">
        <w:rPr>
          <w:rFonts w:ascii="Adobe Caslon Pro" w:hAnsi="Adobe Caslon Pro" w:cs="Adobe Caslon Pro"/>
          <w:color w:val="000000"/>
          <w:kern w:val="0"/>
          <w:sz w:val="23"/>
          <w:szCs w:val="23"/>
        </w:rPr>
        <w:t xml:space="preserve">As Van Dun explains in a brief outline at the end of the paper, in his view, libertarian theory tells us what should be </w:t>
      </w:r>
      <w:r w:rsidRPr="00F64C2B">
        <w:rPr>
          <w:rFonts w:ascii="Adobe Caslon Pro" w:hAnsi="Adobe Caslon Pro" w:cs="Adobe Caslon Pro"/>
          <w:i/>
          <w:iCs/>
          <w:color w:val="000000"/>
          <w:kern w:val="0"/>
          <w:sz w:val="23"/>
          <w:szCs w:val="23"/>
        </w:rPr>
        <w:t>unlawful</w:t>
      </w:r>
      <w:r w:rsidRPr="00F64C2B">
        <w:rPr>
          <w:rFonts w:ascii="Adobe Caslon Pro" w:hAnsi="Adobe Caslon Pro" w:cs="Adobe Caslon Pro"/>
          <w:color w:val="000000"/>
          <w:kern w:val="0"/>
          <w:sz w:val="23"/>
          <w:szCs w:val="23"/>
        </w:rPr>
        <w:t>, by which term he seems to mean a rights violation or against natural law.</w:t>
      </w:r>
      <w:r w:rsidRPr="00F64C2B">
        <w:rPr>
          <w:rFonts w:ascii="Adobe Caslon Pro" w:hAnsi="Adobe Caslon Pro" w:cs="Adobe Caslon Pro"/>
          <w:color w:val="000000"/>
          <w:kern w:val="0"/>
          <w:position w:val="2"/>
          <w:sz w:val="20"/>
          <w:szCs w:val="20"/>
          <w:vertAlign w:val="superscript"/>
        </w:rPr>
        <w:footnoteReference w:id="7"/>
      </w:r>
      <w:r w:rsidRPr="00F64C2B">
        <w:rPr>
          <w:rFonts w:ascii="Adobe Caslon Pro" w:hAnsi="Adobe Caslon Pro" w:cs="Adobe Caslon Pro"/>
          <w:color w:val="000000"/>
          <w:kern w:val="0"/>
          <w:sz w:val="23"/>
          <w:szCs w:val="23"/>
        </w:rPr>
        <w:t xml:space="preserve"> For Van Dun, “unlawful” means the type of conduct that should be made illegal (against positive law). As he writes, “aggression is unlawful and should </w:t>
      </w:r>
      <w:r w:rsidRPr="00F64C2B">
        <w:rPr>
          <w:rFonts w:ascii="Adobe Caslon Pro" w:hAnsi="Adobe Caslon Pro" w:cs="Adobe Caslon Pro"/>
          <w:i/>
          <w:iCs/>
          <w:color w:val="000000"/>
          <w:kern w:val="0"/>
          <w:sz w:val="23"/>
          <w:szCs w:val="23"/>
        </w:rPr>
        <w:t>therefore</w:t>
      </w:r>
      <w:r w:rsidRPr="00F64C2B">
        <w:rPr>
          <w:rFonts w:ascii="Adobe Caslon Pro" w:hAnsi="Adobe Caslon Pro" w:cs="Adobe Caslon Pro"/>
          <w:color w:val="000000"/>
          <w:kern w:val="0"/>
          <w:sz w:val="23"/>
          <w:szCs w:val="23"/>
        </w:rPr>
        <w:t xml:space="preserve"> be illegal in a libertarian legal order.”</w:t>
      </w:r>
      <w:r w:rsidRPr="00F64C2B">
        <w:rPr>
          <w:rFonts w:ascii="Adobe Caslon Pro" w:hAnsi="Adobe Caslon Pro" w:cs="Adobe Caslon Pro"/>
          <w:color w:val="000000"/>
          <w:kern w:val="0"/>
          <w:position w:val="2"/>
          <w:sz w:val="20"/>
          <w:szCs w:val="20"/>
          <w:vertAlign w:val="superscript"/>
        </w:rPr>
        <w:footnoteReference w:id="8"/>
      </w:r>
      <w:r w:rsidRPr="00F64C2B">
        <w:rPr>
          <w:rFonts w:ascii="Adobe Caslon Pro" w:hAnsi="Adobe Caslon Pro" w:cs="Adobe Caslon Pro"/>
          <w:color w:val="000000"/>
          <w:kern w:val="0"/>
          <w:sz w:val="23"/>
          <w:szCs w:val="23"/>
        </w:rPr>
        <w:t xml:space="preserve"> Thus, libertarianism is concerned with what is </w:t>
      </w:r>
      <w:r w:rsidRPr="00F64C2B">
        <w:rPr>
          <w:rFonts w:ascii="Adobe Caslon Pro" w:hAnsi="Adobe Caslon Pro" w:cs="Adobe Caslon Pro"/>
          <w:i/>
          <w:iCs/>
          <w:color w:val="000000"/>
          <w:kern w:val="0"/>
          <w:sz w:val="23"/>
          <w:szCs w:val="23"/>
        </w:rPr>
        <w:t>lawful</w:t>
      </w:r>
      <w:r w:rsidRPr="00F64C2B">
        <w:rPr>
          <w:rFonts w:ascii="Adobe Caslon Pro" w:hAnsi="Adobe Caslon Pro" w:cs="Adobe Caslon Pro"/>
          <w:color w:val="000000"/>
          <w:kern w:val="0"/>
          <w:sz w:val="23"/>
          <w:szCs w:val="23"/>
        </w:rPr>
        <w:t xml:space="preserve"> and </w:t>
      </w:r>
      <w:r w:rsidRPr="00F64C2B">
        <w:rPr>
          <w:rFonts w:ascii="Adobe Caslon Pro" w:hAnsi="Adobe Caslon Pro" w:cs="Adobe Caslon Pro"/>
          <w:i/>
          <w:iCs/>
          <w:color w:val="000000"/>
          <w:kern w:val="0"/>
          <w:sz w:val="23"/>
          <w:szCs w:val="23"/>
        </w:rPr>
        <w:t>unlawful</w:t>
      </w:r>
      <w:r w:rsidRPr="00F64C2B">
        <w:rPr>
          <w:rFonts w:ascii="Adobe Caslon Pro" w:hAnsi="Adobe Caslon Pro" w:cs="Adobe Caslon Pro"/>
          <w:color w:val="000000"/>
          <w:kern w:val="0"/>
          <w:sz w:val="23"/>
          <w:szCs w:val="23"/>
        </w:rPr>
        <w:t xml:space="preserve">, or with what should be made illegal. </w:t>
      </w:r>
    </w:p>
    <w:p w14:paraId="24522676" w14:textId="77777777" w:rsidR="00F64C2B" w:rsidRPr="00F64C2B" w:rsidRDefault="00F64C2B" w:rsidP="00F64C2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4C2B">
        <w:rPr>
          <w:rFonts w:ascii="Adobe Caslon Pro" w:hAnsi="Adobe Caslon Pro" w:cs="Adobe Caslon Pro"/>
          <w:color w:val="000000"/>
          <w:kern w:val="0"/>
          <w:sz w:val="23"/>
          <w:szCs w:val="23"/>
        </w:rPr>
        <w:t xml:space="preserve">Van Dun states that while physical aggression is one type of unlawfulness, it is not true “that </w:t>
      </w:r>
      <w:r w:rsidRPr="00F64C2B">
        <w:rPr>
          <w:rFonts w:ascii="Adobe Caslon Pro" w:hAnsi="Adobe Caslon Pro" w:cs="Adobe Caslon Pro"/>
          <w:i/>
          <w:iCs/>
          <w:color w:val="000000"/>
          <w:kern w:val="0"/>
          <w:sz w:val="23"/>
          <w:szCs w:val="23"/>
        </w:rPr>
        <w:t>only</w:t>
      </w:r>
      <w:r w:rsidRPr="00F64C2B">
        <w:rPr>
          <w:rFonts w:ascii="Adobe Caslon Pro" w:hAnsi="Adobe Caslon Pro" w:cs="Adobe Caslon Pro"/>
          <w:color w:val="000000"/>
          <w:kern w:val="0"/>
          <w:sz w:val="23"/>
          <w:szCs w:val="23"/>
        </w:rPr>
        <w:t xml:space="preserve"> physical invasions of another’s person or property are unlawful.”</w:t>
      </w:r>
      <w:r w:rsidRPr="00F64C2B">
        <w:rPr>
          <w:rFonts w:ascii="Adobe Caslon Pro" w:hAnsi="Adobe Caslon Pro" w:cs="Adobe Caslon Pro"/>
          <w:color w:val="000000"/>
          <w:kern w:val="0"/>
          <w:position w:val="2"/>
          <w:sz w:val="20"/>
          <w:szCs w:val="20"/>
          <w:vertAlign w:val="superscript"/>
        </w:rPr>
        <w:footnoteReference w:id="9"/>
      </w:r>
      <w:r w:rsidRPr="00F64C2B">
        <w:rPr>
          <w:rFonts w:ascii="Adobe Caslon Pro" w:hAnsi="Adobe Caslon Pro" w:cs="Adobe Caslon Pro"/>
          <w:color w:val="000000"/>
          <w:kern w:val="0"/>
          <w:sz w:val="23"/>
          <w:szCs w:val="23"/>
        </w:rPr>
        <w:t xml:space="preserve"> Because aggression is only one type of unlawfulness, he writes, other unlawful things may also be made illegal. Such things include trademark infringement, libel, or blackmail.</w:t>
      </w:r>
    </w:p>
    <w:p w14:paraId="7E9A4851" w14:textId="7179DAB0" w:rsidR="00F64C2B" w:rsidRPr="00F64C2B" w:rsidRDefault="00F64C2B" w:rsidP="00F64C2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4C2B">
        <w:rPr>
          <w:rFonts w:ascii="Adobe Caslon Pro" w:hAnsi="Adobe Caslon Pro" w:cs="Adobe Caslon Pro"/>
          <w:color w:val="000000"/>
          <w:kern w:val="0"/>
          <w:sz w:val="23"/>
          <w:szCs w:val="23"/>
        </w:rPr>
        <w:t>I hope that I have accurately summarized this aspect of Van Dun’s thought. Now I do not deny that the non-aggression principle might not be an “axiom” in the Randian sense and that it might be the result of, or dependent on, more basic truths or reasons.</w:t>
      </w:r>
      <w:r w:rsidRPr="00F64C2B">
        <w:rPr>
          <w:rFonts w:ascii="Adobe Caslon Pro" w:hAnsi="Adobe Caslon Pro" w:cs="Adobe Caslon Pro"/>
          <w:color w:val="000000"/>
          <w:kern w:val="0"/>
          <w:position w:val="2"/>
          <w:sz w:val="20"/>
          <w:szCs w:val="20"/>
          <w:vertAlign w:val="superscript"/>
        </w:rPr>
        <w:footnoteReference w:id="10"/>
      </w:r>
      <w:r w:rsidRPr="00F64C2B">
        <w:rPr>
          <w:rFonts w:ascii="Adobe Caslon Pro" w:hAnsi="Adobe Caslon Pro" w:cs="Adobe Caslon Pro"/>
          <w:color w:val="000000"/>
          <w:kern w:val="0"/>
          <w:sz w:val="23"/>
          <w:szCs w:val="23"/>
        </w:rPr>
        <w:t xml:space="preserve"> But a given theory of law either is or is not compatible with the rule. It seems that Van Dun wants to have it both ways. He is quite correct that, as Block and I see it, “the dichotomy of aggression and non-aggression coincides with the logical opposition between unlawful and lawful acts.”</w:t>
      </w:r>
      <w:r w:rsidRPr="00F64C2B">
        <w:rPr>
          <w:rFonts w:ascii="Adobe Caslon Pro" w:hAnsi="Adobe Caslon Pro" w:cs="Adobe Caslon Pro"/>
          <w:color w:val="000000"/>
          <w:kern w:val="0"/>
          <w:position w:val="2"/>
          <w:sz w:val="20"/>
          <w:szCs w:val="20"/>
          <w:vertAlign w:val="superscript"/>
        </w:rPr>
        <w:footnoteReference w:id="11"/>
      </w:r>
      <w:r w:rsidRPr="00F64C2B">
        <w:rPr>
          <w:rFonts w:ascii="Adobe Caslon Pro" w:hAnsi="Adobe Caslon Pro" w:cs="Adobe Caslon Pro"/>
          <w:color w:val="000000"/>
          <w:kern w:val="0"/>
          <w:sz w:val="23"/>
          <w:szCs w:val="23"/>
        </w:rPr>
        <w:t xml:space="preserve"> The reason for this is that to declare something “unlawful” means it should be made illegal, meaning that force may be used to oppose the unlawful action. The libertarian believes, I submit, that the only case in which force is justified is if it is in response to an initiated act of force. Otherwise, the outlawing of the conduct is itself an initiation of force.</w:t>
      </w:r>
    </w:p>
    <w:p w14:paraId="7FD54841" w14:textId="77777777" w:rsidR="00F64C2B" w:rsidRPr="00F64C2B" w:rsidRDefault="00F64C2B" w:rsidP="00F64C2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4C2B">
        <w:rPr>
          <w:rFonts w:ascii="Adobe Caslon Pro" w:hAnsi="Adobe Caslon Pro" w:cs="Adobe Caslon Pro"/>
          <w:color w:val="000000"/>
          <w:kern w:val="0"/>
          <w:sz w:val="23"/>
          <w:szCs w:val="23"/>
        </w:rPr>
        <w:t xml:space="preserve">Van Dun, though, says that the category of unlawful conduct is broader than aggression. This means conduct other than aggression may be—nay, should be—outlawed. Which means that violence should </w:t>
      </w:r>
      <w:r w:rsidRPr="00F64C2B">
        <w:rPr>
          <w:rFonts w:ascii="Adobe Caslon Pro" w:hAnsi="Adobe Caslon Pro" w:cs="Adobe Caslon Pro"/>
          <w:color w:val="000000"/>
          <w:spacing w:val="2"/>
          <w:kern w:val="0"/>
          <w:sz w:val="23"/>
          <w:szCs w:val="23"/>
        </w:rPr>
        <w:t>be wielded against innocent people who have not engaged in aggres</w:t>
      </w:r>
      <w:r w:rsidRPr="00F64C2B">
        <w:rPr>
          <w:rFonts w:ascii="Adobe Caslon Pro" w:hAnsi="Adobe Caslon Pro" w:cs="Adobe Caslon Pro"/>
          <w:color w:val="000000"/>
          <w:spacing w:val="1"/>
          <w:kern w:val="0"/>
          <w:sz w:val="23"/>
          <w:szCs w:val="23"/>
        </w:rPr>
        <w:t xml:space="preserve">sion. However, since it is not in response to aggression, this is initiated </w:t>
      </w:r>
      <w:r w:rsidRPr="00F64C2B">
        <w:rPr>
          <w:rFonts w:ascii="Adobe Caslon Pro" w:hAnsi="Adobe Caslon Pro" w:cs="Adobe Caslon Pro"/>
          <w:color w:val="000000"/>
          <w:kern w:val="0"/>
          <w:sz w:val="23"/>
          <w:szCs w:val="23"/>
        </w:rPr>
        <w:t xml:space="preserve">force. For this reason, I fail to see how one can admit that aggression should be unlawful but maintain that things other than </w:t>
      </w:r>
      <w:r w:rsidRPr="00F64C2B">
        <w:rPr>
          <w:rFonts w:ascii="Adobe Caslon Pro" w:hAnsi="Adobe Caslon Pro" w:cs="Adobe Caslon Pro"/>
          <w:color w:val="000000"/>
          <w:kern w:val="0"/>
          <w:sz w:val="23"/>
          <w:szCs w:val="23"/>
        </w:rPr>
        <w:lastRenderedPageBreak/>
        <w:t xml:space="preserve">aggression are </w:t>
      </w:r>
      <w:r w:rsidRPr="00F64C2B">
        <w:rPr>
          <w:rFonts w:ascii="Adobe Caslon Pro" w:hAnsi="Adobe Caslon Pro" w:cs="Adobe Caslon Pro"/>
          <w:color w:val="000000"/>
          <w:spacing w:val="-2"/>
          <w:kern w:val="0"/>
          <w:sz w:val="23"/>
          <w:szCs w:val="23"/>
        </w:rPr>
        <w:t>also unlawful. If aggression is unlawful, then nothing else can be, because</w:t>
      </w:r>
      <w:r w:rsidRPr="00F64C2B">
        <w:rPr>
          <w:rFonts w:ascii="Adobe Caslon Pro" w:hAnsi="Adobe Caslon Pro" w:cs="Adobe Caslon Pro"/>
          <w:color w:val="000000"/>
          <w:kern w:val="0"/>
          <w:sz w:val="23"/>
          <w:szCs w:val="23"/>
        </w:rPr>
        <w:t xml:space="preserve"> outlawing non-aggression is itself aggression.</w:t>
      </w:r>
    </w:p>
    <w:p w14:paraId="3441D6FB" w14:textId="77777777" w:rsidR="00F64C2B" w:rsidRPr="00F64C2B" w:rsidRDefault="00F64C2B" w:rsidP="00F64C2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4C2B">
        <w:rPr>
          <w:rFonts w:ascii="Adobe Caslon Pro" w:hAnsi="Adobe Caslon Pro" w:cs="Adobe Caslon Pro"/>
          <w:color w:val="000000"/>
          <w:spacing w:val="-1"/>
          <w:kern w:val="0"/>
          <w:sz w:val="23"/>
          <w:szCs w:val="23"/>
        </w:rPr>
        <w:t>In my view, Van Dun cannot really agree with the non-aggression principle if he is going to adhere to his “broader” view of unlawfulness. Rather, to follow this line of reasoning, it would be more consistent to state that many, even most, acts of aggression are unlawful, but that some types of aggression are not unlawful—namely, the violent suppression of some types of non-aggressive conduct (e.g., libel). But then it would be plain that this theory supports, at least in some cases, the infliction of violent force against those who have not themselves initiated force. This does not seem very libertarian.</w:t>
      </w:r>
    </w:p>
    <w:p w14:paraId="5CE12E47" w14:textId="77777777" w:rsidR="00F64C2B" w:rsidRPr="00F64C2B" w:rsidRDefault="00F64C2B" w:rsidP="00F64C2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4C2B">
        <w:rPr>
          <w:rFonts w:ascii="Adobe Caslon Pro" w:hAnsi="Adobe Caslon Pro" w:cs="Adobe Caslon Pro"/>
          <w:color w:val="000000"/>
          <w:spacing w:val="1"/>
          <w:kern w:val="0"/>
          <w:sz w:val="23"/>
          <w:szCs w:val="23"/>
        </w:rPr>
        <w:t xml:space="preserve">Before I turn to Van Dun’s critique of some of my intellectual property views, a brief digression. Van Dun states: </w:t>
      </w:r>
    </w:p>
    <w:p w14:paraId="45B9447E" w14:textId="77777777" w:rsidR="00F64C2B" w:rsidRPr="00F64C2B" w:rsidRDefault="00F64C2B" w:rsidP="00F64C2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F64C2B">
        <w:rPr>
          <w:rFonts w:ascii="Adobe Caslon Pro" w:hAnsi="Adobe Caslon Pro" w:cs="Adobe Caslon Pro"/>
          <w:color w:val="000000"/>
          <w:spacing w:val="-1"/>
          <w:kern w:val="0"/>
          <w:sz w:val="20"/>
          <w:szCs w:val="20"/>
        </w:rPr>
        <w:t>A libertarian legal theory must be founded on a sound philosophy of law if it is to have any chance of holding its ground in serious intellectual debate. Block and Kinsella do not provide such a philosophy. They assume instead that it can be found in Rothbard’s writings.</w:t>
      </w:r>
      <w:r w:rsidRPr="00F64C2B">
        <w:rPr>
          <w:rFonts w:ascii="Adobe Caslon Pro" w:hAnsi="Adobe Caslon Pro" w:cs="Adobe Caslon Pro"/>
          <w:color w:val="000000"/>
          <w:spacing w:val="-1"/>
          <w:kern w:val="0"/>
          <w:position w:val="2"/>
          <w:sz w:val="20"/>
          <w:szCs w:val="20"/>
          <w:vertAlign w:val="superscript"/>
        </w:rPr>
        <w:footnoteReference w:id="12"/>
      </w:r>
      <w:r w:rsidRPr="00F64C2B">
        <w:rPr>
          <w:rFonts w:ascii="Adobe Caslon Pro" w:hAnsi="Adobe Caslon Pro" w:cs="Adobe Caslon Pro"/>
          <w:color w:val="000000"/>
          <w:spacing w:val="-1"/>
          <w:kern w:val="0"/>
          <w:sz w:val="20"/>
          <w:szCs w:val="20"/>
        </w:rPr>
        <w:t xml:space="preserve"> </w:t>
      </w:r>
    </w:p>
    <w:p w14:paraId="6F85626C" w14:textId="77777777" w:rsidR="00F64C2B" w:rsidRPr="00F64C2B" w:rsidRDefault="00F64C2B" w:rsidP="00F64C2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4C2B">
        <w:rPr>
          <w:rFonts w:ascii="Adobe Caslon Pro" w:hAnsi="Adobe Caslon Pro" w:cs="Adobe Caslon Pro"/>
          <w:color w:val="000000"/>
          <w:kern w:val="0"/>
          <w:sz w:val="23"/>
          <w:szCs w:val="23"/>
        </w:rPr>
        <w:t>However, Van Dun continues, “Rothbard explicitly warned his readers that he himself was merely presupposing the validity of the theory of natural law and would not attempt ‘a full-scale defense of that theory.’”</w:t>
      </w:r>
      <w:r w:rsidRPr="00F64C2B">
        <w:rPr>
          <w:rFonts w:ascii="Adobe Caslon Pro" w:hAnsi="Adobe Caslon Pro" w:cs="Adobe Caslon Pro"/>
          <w:color w:val="000000"/>
          <w:kern w:val="0"/>
          <w:position w:val="2"/>
          <w:sz w:val="20"/>
          <w:szCs w:val="20"/>
          <w:vertAlign w:val="superscript"/>
        </w:rPr>
        <w:footnoteReference w:id="13"/>
      </w:r>
      <w:r w:rsidRPr="00F64C2B">
        <w:rPr>
          <w:rFonts w:ascii="Adobe Caslon Pro" w:hAnsi="Adobe Caslon Pro" w:cs="Adobe Caslon Pro"/>
          <w:color w:val="000000"/>
          <w:kern w:val="0"/>
          <w:sz w:val="23"/>
          <w:szCs w:val="23"/>
        </w:rPr>
        <w:t xml:space="preserve"> </w:t>
      </w:r>
    </w:p>
    <w:p w14:paraId="6B1DC277" w14:textId="77777777" w:rsidR="00F64C2B" w:rsidRPr="00F64C2B" w:rsidRDefault="00F64C2B" w:rsidP="00F64C2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4C2B">
        <w:rPr>
          <w:rFonts w:ascii="Adobe Caslon Pro" w:hAnsi="Adobe Caslon Pro" w:cs="Adobe Caslon Pro"/>
          <w:color w:val="000000"/>
          <w:kern w:val="0"/>
          <w:sz w:val="23"/>
          <w:szCs w:val="23"/>
        </w:rPr>
        <w:t>Now, just as Van Dun cannot set forth his entire legal theory in his article, so I did not in mine, but I did not and do not rely only on Rothbard. To the contrary, I cited my own work and that of Hans-Hermann Hoppe, which elsewhere set forth a defense of the non-aggression principle.</w:t>
      </w:r>
      <w:r w:rsidRPr="00F64C2B">
        <w:rPr>
          <w:rFonts w:ascii="Adobe Caslon Pro" w:hAnsi="Adobe Caslon Pro" w:cs="Adobe Caslon Pro"/>
          <w:color w:val="000000"/>
          <w:kern w:val="0"/>
          <w:position w:val="2"/>
          <w:sz w:val="20"/>
          <w:szCs w:val="20"/>
          <w:vertAlign w:val="superscript"/>
        </w:rPr>
        <w:footnoteReference w:id="14"/>
      </w:r>
      <w:r w:rsidRPr="00F64C2B">
        <w:rPr>
          <w:rFonts w:ascii="Adobe Caslon Pro" w:hAnsi="Adobe Caslon Pro" w:cs="Adobe Caslon Pro"/>
          <w:color w:val="000000"/>
          <w:kern w:val="0"/>
          <w:sz w:val="23"/>
          <w:szCs w:val="23"/>
        </w:rPr>
        <w:t xml:space="preserve"> Hoppe’s argumentation or discourse ethics approach</w:t>
      </w:r>
      <w:proofErr w:type="gramStart"/>
      <w:r w:rsidRPr="00F64C2B">
        <w:rPr>
          <w:rFonts w:ascii="Adobe Caslon Pro" w:hAnsi="Adobe Caslon Pro" w:cs="Adobe Caslon Pro"/>
          <w:color w:val="000000"/>
          <w:kern w:val="0"/>
          <w:sz w:val="23"/>
          <w:szCs w:val="23"/>
        </w:rPr>
        <w:t>, in particular, is</w:t>
      </w:r>
      <w:proofErr w:type="gramEnd"/>
      <w:r w:rsidRPr="00F64C2B">
        <w:rPr>
          <w:rFonts w:ascii="Adobe Caslon Pro" w:hAnsi="Adobe Caslon Pro" w:cs="Adobe Caslon Pro"/>
          <w:color w:val="000000"/>
          <w:kern w:val="0"/>
          <w:sz w:val="23"/>
          <w:szCs w:val="23"/>
        </w:rPr>
        <w:t xml:space="preserve"> a powerful defense of the standard non-aggression-based libertarian view. And it is one Van Dun and I both agree with.</w:t>
      </w:r>
    </w:p>
    <w:p w14:paraId="6FBA4B62" w14:textId="6AC78420" w:rsidR="00F64C2B" w:rsidRPr="00F64C2B" w:rsidRDefault="00F64C2B" w:rsidP="00F64C2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4C2B">
        <w:rPr>
          <w:rFonts w:ascii="Adobe Caslon Pro" w:hAnsi="Adobe Caslon Pro" w:cs="Adobe Caslon Pro"/>
          <w:color w:val="000000"/>
          <w:spacing w:val="1"/>
          <w:kern w:val="0"/>
          <w:sz w:val="23"/>
          <w:szCs w:val="23"/>
        </w:rPr>
        <w:t xml:space="preserve">If I am right, Van Dun must reject the non-aggression principle in favor of his view that unlawfulness is not based on or equated with aggression, so that </w:t>
      </w:r>
      <w:proofErr w:type="gramStart"/>
      <w:r w:rsidRPr="00F64C2B">
        <w:rPr>
          <w:rFonts w:ascii="Adobe Caslon Pro" w:hAnsi="Adobe Caslon Pro" w:cs="Adobe Caslon Pro"/>
          <w:color w:val="000000"/>
          <w:spacing w:val="1"/>
          <w:kern w:val="0"/>
          <w:sz w:val="23"/>
          <w:szCs w:val="23"/>
        </w:rPr>
        <w:t>not only aggression</w:t>
      </w:r>
      <w:proofErr w:type="gramEnd"/>
      <w:r w:rsidRPr="00F64C2B">
        <w:rPr>
          <w:rFonts w:ascii="Adobe Caslon Pro" w:hAnsi="Adobe Caslon Pro" w:cs="Adobe Caslon Pro"/>
          <w:color w:val="000000"/>
          <w:spacing w:val="1"/>
          <w:kern w:val="0"/>
          <w:sz w:val="23"/>
          <w:szCs w:val="23"/>
        </w:rPr>
        <w:t xml:space="preserve"> may be outlawed. But what </w:t>
      </w:r>
      <w:r w:rsidRPr="00F64C2B">
        <w:rPr>
          <w:rFonts w:ascii="Adobe Caslon Pro" w:hAnsi="Adobe Caslon Pro" w:cs="Adobe Caslon Pro"/>
          <w:color w:val="000000"/>
          <w:spacing w:val="2"/>
          <w:kern w:val="0"/>
          <w:sz w:val="23"/>
          <w:szCs w:val="23"/>
        </w:rPr>
        <w:t>I find a bit puzzling is that Van Dun himself employs discourse ethics, in a way similar to Hoppe, to show that “principles of private property and uncoerced exchange” are also presupposed by participants in discourse.</w:t>
      </w:r>
      <w:r w:rsidRPr="00F64C2B">
        <w:rPr>
          <w:rFonts w:ascii="Adobe Caslon Pro" w:hAnsi="Adobe Caslon Pro" w:cs="Adobe Caslon Pro"/>
          <w:color w:val="000000"/>
          <w:spacing w:val="2"/>
          <w:kern w:val="0"/>
          <w:position w:val="2"/>
          <w:sz w:val="20"/>
          <w:szCs w:val="20"/>
          <w:vertAlign w:val="superscript"/>
        </w:rPr>
        <w:footnoteReference w:id="15"/>
      </w:r>
      <w:r w:rsidRPr="00F64C2B">
        <w:rPr>
          <w:rFonts w:ascii="Adobe Caslon Pro" w:hAnsi="Adobe Caslon Pro" w:cs="Adobe Caslon Pro"/>
          <w:color w:val="000000"/>
          <w:spacing w:val="2"/>
          <w:kern w:val="0"/>
          <w:sz w:val="23"/>
          <w:szCs w:val="23"/>
        </w:rPr>
        <w:t xml:space="preserve"> In other words, as Hoppe argues, the non-aggression principle does have a justification in the nature of peaceful discourse; it is not simply an arbitrary “axiom.” Therefore, it is unclear to me why </w:t>
      </w:r>
      <w:r w:rsidRPr="00F64C2B">
        <w:rPr>
          <w:rFonts w:ascii="Adobe Caslon Pro" w:hAnsi="Adobe Caslon Pro" w:cs="Adobe Caslon Pro"/>
          <w:color w:val="000000"/>
          <w:spacing w:val="1"/>
          <w:kern w:val="0"/>
          <w:sz w:val="23"/>
          <w:szCs w:val="23"/>
        </w:rPr>
        <w:t>Van Dun refuses to embrace the non-aggression principle and opposes</w:t>
      </w:r>
      <w:r w:rsidRPr="00F64C2B">
        <w:rPr>
          <w:rFonts w:ascii="Adobe Caslon Pro" w:hAnsi="Adobe Caslon Pro" w:cs="Adobe Caslon Pro"/>
          <w:color w:val="000000"/>
          <w:spacing w:val="2"/>
          <w:kern w:val="0"/>
          <w:sz w:val="23"/>
          <w:szCs w:val="23"/>
        </w:rPr>
        <w:t xml:space="preserve"> building a foundation on it. It seems that his own “dialogue ethics” theory, like that of Hoppe, also shows that the non-aggression rule is, in fact, justified and correct.</w:t>
      </w:r>
    </w:p>
    <w:p w14:paraId="58EAEE0E" w14:textId="77777777" w:rsidR="00F64C2B" w:rsidRPr="00F64C2B" w:rsidRDefault="00F64C2B" w:rsidP="00F64C2B">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64C2B">
        <w:rPr>
          <w:rFonts w:ascii="Le Monde Livre Cla Std Book" w:hAnsi="Le Monde Livre Cla Std Book" w:cs="Le Monde Livre Cla Std Book"/>
          <w:caps/>
          <w:color w:val="000000"/>
          <w:spacing w:val="4"/>
          <w:kern w:val="0"/>
        </w:rPr>
        <w:t>TRADEMARK AND CONTRACT</w:t>
      </w:r>
    </w:p>
    <w:p w14:paraId="47BB67E0" w14:textId="77777777" w:rsidR="00F64C2B" w:rsidRPr="00F64C2B" w:rsidRDefault="00F64C2B" w:rsidP="00F64C2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64C2B">
        <w:rPr>
          <w:rFonts w:ascii="Adobe Caslon Pro" w:hAnsi="Adobe Caslon Pro" w:cs="Adobe Caslon Pro"/>
          <w:color w:val="000000"/>
          <w:spacing w:val="-1"/>
          <w:kern w:val="0"/>
          <w:sz w:val="23"/>
          <w:szCs w:val="23"/>
        </w:rPr>
        <w:t xml:space="preserve">Van Dun seems to agree with the main portion of my paper on intellectual property, that patent and copyright laws are </w:t>
      </w:r>
      <w:proofErr w:type="spellStart"/>
      <w:r w:rsidRPr="00F64C2B">
        <w:rPr>
          <w:rFonts w:ascii="Adobe Caslon Pro" w:hAnsi="Adobe Caslon Pro" w:cs="Adobe Caslon Pro"/>
          <w:color w:val="000000"/>
          <w:spacing w:val="-1"/>
          <w:kern w:val="0"/>
          <w:sz w:val="23"/>
          <w:szCs w:val="23"/>
        </w:rPr>
        <w:t>unlibertarian</w:t>
      </w:r>
      <w:proofErr w:type="spellEnd"/>
      <w:r w:rsidRPr="00F64C2B">
        <w:rPr>
          <w:rFonts w:ascii="Adobe Caslon Pro" w:hAnsi="Adobe Caslon Pro" w:cs="Adobe Caslon Pro"/>
          <w:color w:val="000000"/>
          <w:spacing w:val="-1"/>
          <w:kern w:val="0"/>
          <w:sz w:val="23"/>
          <w:szCs w:val="23"/>
        </w:rPr>
        <w:t xml:space="preserve">. However, he takes issue with my comments with respect to trademark, the relevant portions of which are provided here: </w:t>
      </w:r>
    </w:p>
    <w:p w14:paraId="7B8CDF94" w14:textId="77777777" w:rsidR="00F64C2B" w:rsidRPr="00F64C2B" w:rsidRDefault="00F64C2B" w:rsidP="00F64C2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F64C2B">
        <w:rPr>
          <w:rFonts w:ascii="Adobe Caslon Pro" w:hAnsi="Adobe Caslon Pro" w:cs="Adobe Caslon Pro"/>
          <w:color w:val="000000"/>
          <w:kern w:val="0"/>
          <w:sz w:val="20"/>
          <w:szCs w:val="20"/>
        </w:rPr>
        <w:t xml:space="preserve">Suppose some Lachmannian changes the name on his failing hamburger chain from </w:t>
      </w:r>
      <w:proofErr w:type="spellStart"/>
      <w:r w:rsidRPr="00F64C2B">
        <w:rPr>
          <w:rFonts w:ascii="Adobe Caslon Pro" w:hAnsi="Adobe Caslon Pro" w:cs="Adobe Caslon Pro"/>
          <w:color w:val="000000"/>
          <w:kern w:val="0"/>
          <w:sz w:val="20"/>
          <w:szCs w:val="20"/>
        </w:rPr>
        <w:t>LachmannBurgers</w:t>
      </w:r>
      <w:proofErr w:type="spellEnd"/>
      <w:r w:rsidRPr="00F64C2B">
        <w:rPr>
          <w:rFonts w:ascii="Adobe Caslon Pro" w:hAnsi="Adobe Caslon Pro" w:cs="Adobe Caslon Pro"/>
          <w:color w:val="000000"/>
          <w:kern w:val="0"/>
          <w:sz w:val="20"/>
          <w:szCs w:val="20"/>
        </w:rPr>
        <w:t xml:space="preserve"> to </w:t>
      </w:r>
      <w:proofErr w:type="spellStart"/>
      <w:r w:rsidRPr="00F64C2B">
        <w:rPr>
          <w:rFonts w:ascii="Adobe Caslon Pro" w:hAnsi="Adobe Caslon Pro" w:cs="Adobe Caslon Pro"/>
          <w:color w:val="000000"/>
          <w:kern w:val="0"/>
          <w:sz w:val="20"/>
          <w:szCs w:val="20"/>
        </w:rPr>
        <w:t>RothbardBurgers</w:t>
      </w:r>
      <w:proofErr w:type="spellEnd"/>
      <w:r w:rsidRPr="00F64C2B">
        <w:rPr>
          <w:rFonts w:ascii="Adobe Caslon Pro" w:hAnsi="Adobe Caslon Pro" w:cs="Adobe Caslon Pro"/>
          <w:color w:val="000000"/>
          <w:kern w:val="0"/>
          <w:sz w:val="20"/>
          <w:szCs w:val="20"/>
        </w:rPr>
        <w:t xml:space="preserve">, which is already the name of another hamburger chain. I, as a consumer, am hungry for a </w:t>
      </w:r>
      <w:proofErr w:type="spellStart"/>
      <w:r w:rsidRPr="00F64C2B">
        <w:rPr>
          <w:rFonts w:ascii="Adobe Caslon Pro" w:hAnsi="Adobe Caslon Pro" w:cs="Adobe Caslon Pro"/>
          <w:color w:val="000000"/>
          <w:kern w:val="0"/>
          <w:sz w:val="20"/>
          <w:szCs w:val="20"/>
        </w:rPr>
        <w:t>RothbardBurger</w:t>
      </w:r>
      <w:proofErr w:type="spellEnd"/>
      <w:r w:rsidRPr="00F64C2B">
        <w:rPr>
          <w:rFonts w:ascii="Adobe Caslon Pro" w:hAnsi="Adobe Caslon Pro" w:cs="Adobe Caslon Pro"/>
          <w:color w:val="000000"/>
          <w:kern w:val="0"/>
          <w:sz w:val="20"/>
          <w:szCs w:val="20"/>
        </w:rPr>
        <w:t xml:space="preserve">. I see one of the fake </w:t>
      </w:r>
      <w:proofErr w:type="spellStart"/>
      <w:r w:rsidRPr="00F64C2B">
        <w:rPr>
          <w:rFonts w:ascii="Adobe Caslon Pro" w:hAnsi="Adobe Caslon Pro" w:cs="Adobe Caslon Pro"/>
          <w:color w:val="000000"/>
          <w:kern w:val="0"/>
          <w:sz w:val="20"/>
          <w:szCs w:val="20"/>
        </w:rPr>
        <w:t>RothbardBurger</w:t>
      </w:r>
      <w:proofErr w:type="spellEnd"/>
      <w:r w:rsidRPr="00F64C2B">
        <w:rPr>
          <w:rFonts w:ascii="Adobe Caslon Pro" w:hAnsi="Adobe Caslon Pro" w:cs="Adobe Caslon Pro"/>
          <w:color w:val="000000"/>
          <w:kern w:val="0"/>
          <w:sz w:val="20"/>
          <w:szCs w:val="20"/>
        </w:rPr>
        <w:t xml:space="preserve"> joints run by the stealthy Lachmannian, and I buy a burger. Under current law, Rothbard, the “owner” of the </w:t>
      </w:r>
      <w:proofErr w:type="spellStart"/>
      <w:r w:rsidRPr="00F64C2B">
        <w:rPr>
          <w:rFonts w:ascii="Adobe Caslon Pro" w:hAnsi="Adobe Caslon Pro" w:cs="Adobe Caslon Pro"/>
          <w:color w:val="000000"/>
          <w:kern w:val="0"/>
          <w:sz w:val="20"/>
          <w:szCs w:val="20"/>
        </w:rPr>
        <w:t>RothbardBurgers</w:t>
      </w:r>
      <w:proofErr w:type="spellEnd"/>
      <w:r w:rsidRPr="00F64C2B">
        <w:rPr>
          <w:rFonts w:ascii="Adobe Caslon Pro" w:hAnsi="Adobe Caslon Pro" w:cs="Adobe Caslon Pro"/>
          <w:color w:val="000000"/>
          <w:kern w:val="0"/>
          <w:sz w:val="20"/>
          <w:szCs w:val="20"/>
        </w:rPr>
        <w:t xml:space="preserve"> trademark, can prevent the Lachmannian from using the mark </w:t>
      </w:r>
      <w:proofErr w:type="spellStart"/>
      <w:r w:rsidRPr="00F64C2B">
        <w:rPr>
          <w:rFonts w:ascii="Adobe Caslon Pro" w:hAnsi="Adobe Caslon Pro" w:cs="Adobe Caslon Pro"/>
          <w:color w:val="000000"/>
          <w:kern w:val="0"/>
          <w:sz w:val="20"/>
          <w:szCs w:val="20"/>
        </w:rPr>
        <w:t>RothbardBurgers</w:t>
      </w:r>
      <w:proofErr w:type="spellEnd"/>
      <w:r w:rsidRPr="00F64C2B">
        <w:rPr>
          <w:rFonts w:ascii="Adobe Caslon Pro" w:hAnsi="Adobe Caslon Pro" w:cs="Adobe Caslon Pro"/>
          <w:color w:val="000000"/>
          <w:kern w:val="0"/>
          <w:sz w:val="20"/>
          <w:szCs w:val="20"/>
        </w:rPr>
        <w:t xml:space="preserve"> to sell burgers because it is “confusingly similar” to his own trademark. That is, it is likely to mislead consumers as to the true source of the goods purchased. The law, then, gives a right to the trademark holder against the trademark infringer. </w:t>
      </w:r>
    </w:p>
    <w:p w14:paraId="666A1D7C" w14:textId="77777777" w:rsidR="00F64C2B" w:rsidRPr="00F64C2B" w:rsidRDefault="00F64C2B" w:rsidP="00F64C2B">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F64C2B">
        <w:rPr>
          <w:rFonts w:ascii="Adobe Caslon Pro" w:hAnsi="Adobe Caslon Pro" w:cs="Adobe Caslon Pro"/>
          <w:color w:val="000000"/>
          <w:kern w:val="0"/>
          <w:sz w:val="20"/>
          <w:szCs w:val="20"/>
        </w:rPr>
        <w:lastRenderedPageBreak/>
        <w:t xml:space="preserve">In my view, it is the </w:t>
      </w:r>
      <w:r w:rsidRPr="00F64C2B">
        <w:rPr>
          <w:rFonts w:ascii="Adobe Caslon Pro" w:hAnsi="Adobe Caslon Pro" w:cs="Adobe Caslon Pro"/>
          <w:i/>
          <w:iCs/>
          <w:color w:val="000000"/>
          <w:kern w:val="0"/>
          <w:sz w:val="20"/>
          <w:szCs w:val="20"/>
        </w:rPr>
        <w:t>consumers</w:t>
      </w:r>
      <w:r w:rsidRPr="00F64C2B">
        <w:rPr>
          <w:rFonts w:ascii="Adobe Caslon Pro" w:hAnsi="Adobe Caslon Pro" w:cs="Adobe Caslon Pro"/>
          <w:color w:val="000000"/>
          <w:kern w:val="0"/>
          <w:sz w:val="20"/>
          <w:szCs w:val="20"/>
        </w:rPr>
        <w:t xml:space="preserve"> whose rights are violated, not the trademark holder’s. In the foregoing example, I (the consumer) thought I was buying a </w:t>
      </w:r>
      <w:proofErr w:type="spellStart"/>
      <w:r w:rsidRPr="00F64C2B">
        <w:rPr>
          <w:rFonts w:ascii="Adobe Caslon Pro" w:hAnsi="Adobe Caslon Pro" w:cs="Adobe Caslon Pro"/>
          <w:color w:val="000000"/>
          <w:kern w:val="0"/>
          <w:sz w:val="20"/>
          <w:szCs w:val="20"/>
        </w:rPr>
        <w:t>RothbardBurger</w:t>
      </w:r>
      <w:proofErr w:type="spellEnd"/>
      <w:r w:rsidRPr="00F64C2B">
        <w:rPr>
          <w:rFonts w:ascii="Adobe Caslon Pro" w:hAnsi="Adobe Caslon Pro" w:cs="Adobe Caslon Pro"/>
          <w:color w:val="000000"/>
          <w:kern w:val="0"/>
          <w:sz w:val="20"/>
          <w:szCs w:val="20"/>
        </w:rPr>
        <w:t xml:space="preserve">, but instead got a crummy </w:t>
      </w:r>
      <w:proofErr w:type="spellStart"/>
      <w:r w:rsidRPr="00F64C2B">
        <w:rPr>
          <w:rFonts w:ascii="Adobe Caslon Pro" w:hAnsi="Adobe Caslon Pro" w:cs="Adobe Caslon Pro"/>
          <w:color w:val="000000"/>
          <w:kern w:val="0"/>
          <w:sz w:val="20"/>
          <w:szCs w:val="20"/>
        </w:rPr>
        <w:t>LachmannBurger</w:t>
      </w:r>
      <w:proofErr w:type="spellEnd"/>
      <w:r w:rsidRPr="00F64C2B">
        <w:rPr>
          <w:rFonts w:ascii="Adobe Caslon Pro" w:hAnsi="Adobe Caslon Pro" w:cs="Adobe Caslon Pro"/>
          <w:color w:val="000000"/>
          <w:kern w:val="0"/>
          <w:sz w:val="20"/>
          <w:szCs w:val="20"/>
        </w:rPr>
        <w:t xml:space="preserve"> with its weird kaleidoscopic sauce. I should have a right to sue the Lachmannian for fraud and breach of contract (not to mention intentional infliction of emotional distress and misrepresentation of praxeological truths). However, it is difficult to see how this act of fraud, perpetrated by the Lachmannian on </w:t>
      </w:r>
      <w:r w:rsidRPr="00F64C2B">
        <w:rPr>
          <w:rFonts w:ascii="Adobe Caslon Pro" w:hAnsi="Adobe Caslon Pro" w:cs="Adobe Caslon Pro"/>
          <w:i/>
          <w:iCs/>
          <w:color w:val="000000"/>
          <w:kern w:val="0"/>
          <w:sz w:val="20"/>
          <w:szCs w:val="20"/>
        </w:rPr>
        <w:t>me</w:t>
      </w:r>
      <w:r w:rsidRPr="00F64C2B">
        <w:rPr>
          <w:rFonts w:ascii="Adobe Caslon Pro" w:hAnsi="Adobe Caslon Pro" w:cs="Adobe Caslon Pro"/>
          <w:color w:val="000000"/>
          <w:kern w:val="0"/>
          <w:sz w:val="20"/>
          <w:szCs w:val="20"/>
        </w:rPr>
        <w:t xml:space="preserve">, violates </w:t>
      </w:r>
      <w:r w:rsidRPr="00F64C2B">
        <w:rPr>
          <w:rFonts w:ascii="Adobe Caslon Pro" w:hAnsi="Adobe Caslon Pro" w:cs="Adobe Caslon Pro"/>
          <w:i/>
          <w:iCs/>
          <w:color w:val="000000"/>
          <w:kern w:val="0"/>
          <w:sz w:val="20"/>
          <w:szCs w:val="20"/>
        </w:rPr>
        <w:t>Rothbard’s</w:t>
      </w:r>
      <w:r w:rsidRPr="00F64C2B">
        <w:rPr>
          <w:rFonts w:ascii="Adobe Caslon Pro" w:hAnsi="Adobe Caslon Pro" w:cs="Adobe Caslon Pro"/>
          <w:color w:val="000000"/>
          <w:kern w:val="0"/>
          <w:sz w:val="20"/>
          <w:szCs w:val="20"/>
        </w:rPr>
        <w:t xml:space="preserve"> rights. The </w:t>
      </w:r>
      <w:proofErr w:type="spellStart"/>
      <w:r w:rsidRPr="00F64C2B">
        <w:rPr>
          <w:rFonts w:ascii="Adobe Caslon Pro" w:hAnsi="Adobe Caslon Pro" w:cs="Adobe Caslon Pro"/>
          <w:color w:val="000000"/>
          <w:kern w:val="0"/>
          <w:sz w:val="20"/>
          <w:szCs w:val="20"/>
        </w:rPr>
        <w:t>Lachmannian’s</w:t>
      </w:r>
      <w:proofErr w:type="spellEnd"/>
      <w:r w:rsidRPr="00F64C2B">
        <w:rPr>
          <w:rFonts w:ascii="Adobe Caslon Pro" w:hAnsi="Adobe Caslon Pro" w:cs="Adobe Caslon Pro"/>
          <w:color w:val="000000"/>
          <w:kern w:val="0"/>
          <w:sz w:val="20"/>
          <w:szCs w:val="20"/>
        </w:rPr>
        <w:t xml:space="preserve"> actions do not physically invade Rothbard’s property. He does not even convince others to do this; at most, he may be said to convince third parties to take an action within their rights, namely, to buy a burger from the Lachmannian instead of Rothbard. Thus</w:t>
      </w:r>
      <w:proofErr w:type="gramStart"/>
      <w:r w:rsidRPr="00F64C2B">
        <w:rPr>
          <w:rFonts w:ascii="Adobe Caslon Pro" w:hAnsi="Adobe Caslon Pro" w:cs="Adobe Caslon Pro"/>
          <w:color w:val="000000"/>
          <w:kern w:val="0"/>
          <w:sz w:val="20"/>
          <w:szCs w:val="20"/>
        </w:rPr>
        <w:t>, it would appear that, under</w:t>
      </w:r>
      <w:proofErr w:type="gramEnd"/>
      <w:r w:rsidRPr="00F64C2B">
        <w:rPr>
          <w:rFonts w:ascii="Adobe Caslon Pro" w:hAnsi="Adobe Caslon Pro" w:cs="Adobe Caslon Pro"/>
          <w:color w:val="000000"/>
          <w:kern w:val="0"/>
          <w:sz w:val="20"/>
          <w:szCs w:val="20"/>
        </w:rPr>
        <w:t xml:space="preserve"> libertarianism, trademark law should give </w:t>
      </w:r>
      <w:r w:rsidRPr="00F64C2B">
        <w:rPr>
          <w:rFonts w:ascii="Adobe Caslon Pro" w:hAnsi="Adobe Caslon Pro" w:cs="Adobe Caslon Pro"/>
          <w:i/>
          <w:iCs/>
          <w:color w:val="000000"/>
          <w:kern w:val="0"/>
          <w:sz w:val="20"/>
          <w:szCs w:val="20"/>
        </w:rPr>
        <w:t>consumers</w:t>
      </w:r>
      <w:r w:rsidRPr="00F64C2B">
        <w:rPr>
          <w:rFonts w:ascii="Adobe Caslon Pro" w:hAnsi="Adobe Caslon Pro" w:cs="Adobe Caslon Pro"/>
          <w:color w:val="000000"/>
          <w:kern w:val="0"/>
          <w:sz w:val="20"/>
          <w:szCs w:val="20"/>
        </w:rPr>
        <w:t xml:space="preserve">, not trademark </w:t>
      </w:r>
      <w:r w:rsidRPr="00F64C2B">
        <w:rPr>
          <w:rFonts w:ascii="Adobe Caslon Pro" w:hAnsi="Adobe Caslon Pro" w:cs="Adobe Caslon Pro"/>
          <w:i/>
          <w:iCs/>
          <w:color w:val="000000"/>
          <w:kern w:val="0"/>
          <w:sz w:val="20"/>
          <w:szCs w:val="20"/>
        </w:rPr>
        <w:t>users</w:t>
      </w:r>
      <w:r w:rsidRPr="00F64C2B">
        <w:rPr>
          <w:rFonts w:ascii="Adobe Caslon Pro" w:hAnsi="Adobe Caslon Pro" w:cs="Adobe Caslon Pro"/>
          <w:color w:val="000000"/>
          <w:kern w:val="0"/>
          <w:sz w:val="20"/>
          <w:szCs w:val="20"/>
        </w:rPr>
        <w:t>, the right to sue trademark pirates.</w:t>
      </w:r>
      <w:r w:rsidRPr="00F64C2B">
        <w:rPr>
          <w:rFonts w:ascii="Adobe Caslon Pro" w:hAnsi="Adobe Caslon Pro" w:cs="Adobe Caslon Pro"/>
          <w:color w:val="000000"/>
          <w:kern w:val="0"/>
          <w:position w:val="2"/>
          <w:sz w:val="20"/>
          <w:szCs w:val="20"/>
          <w:vertAlign w:val="superscript"/>
        </w:rPr>
        <w:footnoteReference w:id="16"/>
      </w:r>
      <w:r w:rsidRPr="00F64C2B">
        <w:rPr>
          <w:rFonts w:ascii="Adobe Caslon Pro" w:hAnsi="Adobe Caslon Pro" w:cs="Adobe Caslon Pro"/>
          <w:color w:val="000000"/>
          <w:kern w:val="0"/>
          <w:sz w:val="20"/>
          <w:szCs w:val="20"/>
        </w:rPr>
        <w:t xml:space="preserve"> </w:t>
      </w:r>
    </w:p>
    <w:p w14:paraId="0FFA0D78" w14:textId="77777777" w:rsidR="00F64C2B" w:rsidRPr="00F64C2B" w:rsidRDefault="00F64C2B" w:rsidP="00F64C2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64C2B">
        <w:rPr>
          <w:rFonts w:ascii="Adobe Caslon Pro" w:hAnsi="Adobe Caslon Pro" w:cs="Adobe Caslon Pro"/>
          <w:color w:val="000000"/>
          <w:spacing w:val="-1"/>
          <w:kern w:val="0"/>
          <w:sz w:val="23"/>
          <w:szCs w:val="23"/>
        </w:rPr>
        <w:t>Van Dun maintains that “it is … difficult to see how trademark piracy could violate the consumer’s rights if it was not a violation of the trademark holder’s right.”</w:t>
      </w:r>
      <w:r w:rsidRPr="00F64C2B">
        <w:rPr>
          <w:rFonts w:ascii="Adobe Caslon Pro" w:hAnsi="Adobe Caslon Pro" w:cs="Adobe Caslon Pro"/>
          <w:color w:val="000000"/>
          <w:spacing w:val="-1"/>
          <w:kern w:val="0"/>
          <w:position w:val="2"/>
          <w:sz w:val="20"/>
          <w:szCs w:val="20"/>
          <w:vertAlign w:val="superscript"/>
        </w:rPr>
        <w:footnoteReference w:id="17"/>
      </w:r>
      <w:r w:rsidRPr="00F64C2B">
        <w:rPr>
          <w:rFonts w:ascii="Adobe Caslon Pro" w:hAnsi="Adobe Caslon Pro" w:cs="Adobe Caslon Pro"/>
          <w:color w:val="000000"/>
          <w:spacing w:val="-1"/>
          <w:kern w:val="0"/>
          <w:sz w:val="23"/>
          <w:szCs w:val="23"/>
        </w:rPr>
        <w:t xml:space="preserve"> Van Dun mounts an escalating series of criticisms of the alleged implications of my trademark views. Most seem to rest on his conclusion that, under my theory, one cannot say that the consumer has a fraud or breach of contract claim. He reasons: </w:t>
      </w:r>
    </w:p>
    <w:p w14:paraId="06E36BE5" w14:textId="77777777" w:rsidR="00F64C2B" w:rsidRPr="00F64C2B" w:rsidRDefault="00F64C2B" w:rsidP="00F64C2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F64C2B">
        <w:rPr>
          <w:rFonts w:ascii="Adobe Caslon Pro" w:hAnsi="Adobe Caslon Pro" w:cs="Adobe Caslon Pro"/>
          <w:color w:val="000000"/>
          <w:kern w:val="0"/>
          <w:sz w:val="20"/>
          <w:szCs w:val="20"/>
        </w:rPr>
        <w:t xml:space="preserve">According to Kinsella, the consumer supposedly is defrauded because the L-Burger chain misrepresented itself to the consumer. The latter therefore should have a right to sue the L-Burger chain for “fraud and breach of contract.” That is a strange conclusion, for it is not at all clear what contract L-Burger breached. The consumer presumably got what he paid for: a burger. If L-Burger acted within its legal rights under the Kinsella Code in using the R-Burger trademark, the consumer should know that a trademark carries no legally relevant information. Kinsella’s argument—the consumer thought he bought an R-Burger, but instead </w:t>
      </w:r>
      <w:r w:rsidRPr="00F64C2B">
        <w:rPr>
          <w:rFonts w:ascii="Adobe Caslon Pro" w:hAnsi="Adobe Caslon Pro" w:cs="Adobe Caslon Pro"/>
          <w:color w:val="000000"/>
          <w:spacing w:val="-3"/>
          <w:kern w:val="0"/>
          <w:sz w:val="20"/>
          <w:szCs w:val="20"/>
        </w:rPr>
        <w:t>got a crummy L-Burger—is simply irrelevant. The consumer’s expectations</w:t>
      </w:r>
      <w:r w:rsidRPr="00F64C2B">
        <w:rPr>
          <w:rFonts w:ascii="Adobe Caslon Pro" w:hAnsi="Adobe Caslon Pro" w:cs="Adobe Caslon Pro"/>
          <w:color w:val="000000"/>
          <w:kern w:val="0"/>
          <w:sz w:val="20"/>
          <w:szCs w:val="20"/>
        </w:rPr>
        <w:t xml:space="preserve"> would have been equally frustrated if he had bought at R-Burger when, unbeknownst to him, that chain had hired another chef with the same tastes as his counterpart at L-Burger or had changed its production processes or suppliers. Should any of these things also constitute a violation of the consumer’s rights?</w:t>
      </w:r>
      <w:r w:rsidRPr="00F64C2B">
        <w:rPr>
          <w:rFonts w:ascii="Adobe Caslon Pro" w:hAnsi="Adobe Caslon Pro" w:cs="Adobe Caslon Pro"/>
          <w:color w:val="000000"/>
          <w:kern w:val="0"/>
          <w:position w:val="2"/>
          <w:sz w:val="20"/>
          <w:szCs w:val="20"/>
          <w:vertAlign w:val="superscript"/>
        </w:rPr>
        <w:footnoteReference w:id="18"/>
      </w:r>
      <w:r w:rsidRPr="00F64C2B">
        <w:rPr>
          <w:rFonts w:ascii="Adobe Caslon Pro" w:hAnsi="Adobe Caslon Pro" w:cs="Adobe Caslon Pro"/>
          <w:color w:val="000000"/>
          <w:kern w:val="0"/>
          <w:sz w:val="20"/>
          <w:szCs w:val="20"/>
        </w:rPr>
        <w:t xml:space="preserve"> </w:t>
      </w:r>
    </w:p>
    <w:p w14:paraId="5DAEE59D" w14:textId="0324B8F0" w:rsidR="00F64C2B" w:rsidRPr="00F64C2B" w:rsidRDefault="00F64C2B" w:rsidP="00F64C2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4C2B">
        <w:rPr>
          <w:rFonts w:ascii="Adobe Caslon Pro" w:hAnsi="Adobe Caslon Pro" w:cs="Adobe Caslon Pro"/>
          <w:color w:val="000000"/>
          <w:kern w:val="0"/>
          <w:sz w:val="23"/>
          <w:szCs w:val="23"/>
        </w:rPr>
        <w:t xml:space="preserve">I acknowledge the reasoning was somewhat compressed. In a 53-page paper devoted primarily to patent and copyright, I devoted only three paragraphs to the issue of whether trademark law can be justified. My view that the consumer has a fraud or breach of contract claim is </w:t>
      </w:r>
      <w:r w:rsidRPr="00F64C2B">
        <w:rPr>
          <w:rFonts w:ascii="Adobe Caslon Pro" w:hAnsi="Adobe Caslon Pro" w:cs="Adobe Caslon Pro"/>
          <w:color w:val="000000"/>
          <w:spacing w:val="-1"/>
          <w:kern w:val="0"/>
          <w:sz w:val="23"/>
          <w:szCs w:val="23"/>
        </w:rPr>
        <w:t>obviously based on a theory of contract contained in an article</w:t>
      </w:r>
      <w:r w:rsidRPr="00F64C2B">
        <w:rPr>
          <w:rFonts w:ascii="Adobe Caslon Pro" w:hAnsi="Adobe Caslon Pro" w:cs="Adobe Caslon Pro"/>
          <w:color w:val="000000"/>
          <w:kern w:val="0"/>
          <w:sz w:val="23"/>
          <w:szCs w:val="23"/>
        </w:rPr>
        <w:t xml:space="preserve"> published after the intellectual property article.</w:t>
      </w:r>
      <w:r w:rsidRPr="00F64C2B">
        <w:rPr>
          <w:rFonts w:ascii="Adobe Caslon Pro" w:hAnsi="Adobe Caslon Pro" w:cs="Adobe Caslon Pro"/>
          <w:color w:val="000000"/>
          <w:kern w:val="0"/>
          <w:position w:val="2"/>
          <w:sz w:val="20"/>
          <w:szCs w:val="20"/>
          <w:vertAlign w:val="superscript"/>
        </w:rPr>
        <w:footnoteReference w:id="19"/>
      </w:r>
      <w:r w:rsidRPr="00F64C2B">
        <w:rPr>
          <w:rFonts w:ascii="Adobe Caslon Pro" w:hAnsi="Adobe Caslon Pro" w:cs="Adobe Caslon Pro"/>
          <w:color w:val="000000"/>
          <w:kern w:val="0"/>
          <w:sz w:val="23"/>
          <w:szCs w:val="23"/>
        </w:rPr>
        <w:t xml:space="preserve"> I believe Van Dun is incorrect that my non-aggression-principle-compatible legal theory cannot support a fraud or breach of contract claim in the context noted above.</w:t>
      </w:r>
    </w:p>
    <w:p w14:paraId="19ABA56F" w14:textId="77777777" w:rsidR="00F64C2B" w:rsidRPr="00F64C2B" w:rsidRDefault="00F64C2B" w:rsidP="00F64C2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4C2B">
        <w:rPr>
          <w:rFonts w:ascii="Adobe Caslon Pro" w:hAnsi="Adobe Caslon Pro" w:cs="Adobe Caslon Pro"/>
          <w:color w:val="000000"/>
          <w:spacing w:val="-1"/>
          <w:kern w:val="0"/>
          <w:sz w:val="23"/>
          <w:szCs w:val="23"/>
        </w:rPr>
        <w:t xml:space="preserve">As explained more fully in my contract theory chapter, libertarianism maintains that the owner of a scarce resource has the right to use the resource and to dispose of it. The owner is the first possessor (homesteader) or someone who legitimately acquired the property from the first possessor (contract). Having the right to use property implies one may choose to exclude others from it, permit them to use or borrow it, give or sell title to another, or abandon it. If you own something, you can use it, hoard it, share it, destroy it (abuse), sell it (alienate) or give or lend it to another, or abandon it. One’s choice whether to sell something or lend it, for example, obviously must be manifested in some way. Clearly, social interaction and property exchanges presuppose the ability of the parties to </w:t>
      </w:r>
      <w:r w:rsidRPr="00F64C2B">
        <w:rPr>
          <w:rFonts w:ascii="Adobe Caslon Pro" w:hAnsi="Adobe Caslon Pro" w:cs="Adobe Caslon Pro"/>
          <w:i/>
          <w:iCs/>
          <w:color w:val="000000"/>
          <w:spacing w:val="-1"/>
          <w:kern w:val="0"/>
          <w:sz w:val="23"/>
          <w:szCs w:val="23"/>
        </w:rPr>
        <w:t>communicate</w:t>
      </w:r>
      <w:r w:rsidRPr="00F64C2B">
        <w:rPr>
          <w:rFonts w:ascii="Adobe Caslon Pro" w:hAnsi="Adobe Caslon Pro" w:cs="Adobe Caslon Pro"/>
          <w:color w:val="000000"/>
          <w:spacing w:val="-1"/>
          <w:kern w:val="0"/>
          <w:sz w:val="23"/>
          <w:szCs w:val="23"/>
        </w:rPr>
        <w:t xml:space="preserve"> with each other.</w:t>
      </w:r>
    </w:p>
    <w:p w14:paraId="68F64E4A" w14:textId="77777777" w:rsidR="00F64C2B" w:rsidRPr="00F64C2B" w:rsidRDefault="00F64C2B" w:rsidP="00F64C2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4C2B">
        <w:rPr>
          <w:rFonts w:ascii="Adobe Caslon Pro" w:hAnsi="Adobe Caslon Pro" w:cs="Adobe Caslon Pro"/>
          <w:color w:val="000000"/>
          <w:kern w:val="0"/>
          <w:sz w:val="23"/>
          <w:szCs w:val="23"/>
        </w:rPr>
        <w:t xml:space="preserve">It is the owner’s consent that distinguishes permitted use from trespass. If my neighbor walks to my front door to borrow a cup of sugar, she has implied permission to use my sidewalk and doorknocker for this purpose because of default rules in the community that can be relied on if not contradicted. This is how language and communication work. But if I tell her she is not welcome on my property, then she is a trespasser if she steps on it. Clearly, the manifested or communicated consent of the owner is relevant as to whether the use of property is permissible—whether it is a form of trespass or theft. </w:t>
      </w:r>
    </w:p>
    <w:p w14:paraId="4C266B36" w14:textId="77777777" w:rsidR="00F64C2B" w:rsidRPr="00F64C2B" w:rsidRDefault="00F64C2B" w:rsidP="00F64C2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4C2B">
        <w:rPr>
          <w:rFonts w:ascii="Adobe Caslon Pro" w:hAnsi="Adobe Caslon Pro" w:cs="Adobe Caslon Pro"/>
          <w:color w:val="000000"/>
          <w:kern w:val="0"/>
          <w:sz w:val="23"/>
          <w:szCs w:val="23"/>
        </w:rPr>
        <w:t xml:space="preserve">This is also true for loans and exchanges of title. If I lend my car to someone, the permission must be communicated to him somehow. For example, I can lend my car to my brother. His use is not trespass since I consented to it. If a random stranger takes my car and uses it, we call that theft because I did not consent to it. </w:t>
      </w:r>
    </w:p>
    <w:p w14:paraId="78EBD9E5" w14:textId="77777777" w:rsidR="00F64C2B" w:rsidRPr="00F64C2B" w:rsidRDefault="00F64C2B" w:rsidP="00F64C2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4C2B">
        <w:rPr>
          <w:rFonts w:ascii="Adobe Caslon Pro" w:hAnsi="Adobe Caslon Pro" w:cs="Adobe Caslon Pro"/>
          <w:color w:val="000000"/>
          <w:kern w:val="0"/>
          <w:sz w:val="23"/>
          <w:szCs w:val="23"/>
        </w:rPr>
        <w:t xml:space="preserve">But since consent is communicated and can be withheld, it need not be all or nothing—a loan need not be a permanent gift. The consent given to others to use one’s property can be conditional. For example, it can be limited in </w:t>
      </w:r>
      <w:r w:rsidRPr="00F64C2B">
        <w:rPr>
          <w:rFonts w:ascii="Adobe Caslon Pro" w:hAnsi="Adobe Caslon Pro" w:cs="Adobe Caslon Pro"/>
          <w:color w:val="000000"/>
          <w:kern w:val="0"/>
          <w:sz w:val="23"/>
          <w:szCs w:val="23"/>
        </w:rPr>
        <w:lastRenderedPageBreak/>
        <w:t xml:space="preserve">time or in other ways. If I lend my car to my brother to go to lunch and he drives off to Canada in it for a month-long vacation, he is now using my car without my consent, and he knows this. At this point, he is identical to the thief or other trespasser. The question to be asked is always: Did the owner consent to the other’s use of the property? If so, it is permissible and rightful, since an owner can allow others to use his property. But if not, it is a type of theft or trespass. And clearly, determining whether consent was granted presupposes the </w:t>
      </w:r>
      <w:r w:rsidRPr="00F64C2B">
        <w:rPr>
          <w:rFonts w:ascii="Adobe Caslon Pro" w:hAnsi="Adobe Caslon Pro" w:cs="Adobe Caslon Pro"/>
          <w:i/>
          <w:iCs/>
          <w:color w:val="000000"/>
          <w:kern w:val="0"/>
          <w:sz w:val="23"/>
          <w:szCs w:val="23"/>
        </w:rPr>
        <w:t>possibility of communication</w:t>
      </w:r>
      <w:r w:rsidRPr="00F64C2B">
        <w:rPr>
          <w:rFonts w:ascii="Adobe Caslon Pro" w:hAnsi="Adobe Caslon Pro" w:cs="Adobe Caslon Pro"/>
          <w:color w:val="000000"/>
          <w:kern w:val="0"/>
          <w:sz w:val="23"/>
          <w:szCs w:val="23"/>
        </w:rPr>
        <w:t>.</w:t>
      </w:r>
    </w:p>
    <w:p w14:paraId="0B1319E2" w14:textId="32D785A9" w:rsidR="00F64C2B" w:rsidRPr="00F64C2B" w:rsidRDefault="00F64C2B" w:rsidP="00F64C2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4C2B">
        <w:rPr>
          <w:rFonts w:ascii="Adobe Caslon Pro" w:hAnsi="Adobe Caslon Pro" w:cs="Adobe Caslon Pro"/>
          <w:color w:val="000000"/>
          <w:spacing w:val="-1"/>
          <w:kern w:val="0"/>
          <w:sz w:val="23"/>
          <w:szCs w:val="23"/>
        </w:rPr>
        <w:t xml:space="preserve">Now, when someone sells or buys an item, the sale or purchase can be, and usually is, conditional. For example, if I buy a candy bar for a shilling from a vendor, I transfer title to my shilling to the vendor, and he transfers title to the candy to me. Other customary assumptions are viewed as implied conditions on the title transfers, but they can also be made </w:t>
      </w:r>
      <w:proofErr w:type="gramStart"/>
      <w:r w:rsidRPr="00F64C2B">
        <w:rPr>
          <w:rFonts w:ascii="Adobe Caslon Pro" w:hAnsi="Adobe Caslon Pro" w:cs="Adobe Caslon Pro"/>
          <w:color w:val="000000"/>
          <w:spacing w:val="-1"/>
          <w:kern w:val="0"/>
          <w:sz w:val="23"/>
          <w:szCs w:val="23"/>
        </w:rPr>
        <w:t>explicit</w:t>
      </w:r>
      <w:proofErr w:type="gramEnd"/>
      <w:r w:rsidRPr="00F64C2B">
        <w:rPr>
          <w:rFonts w:ascii="Adobe Caslon Pro" w:hAnsi="Adobe Caslon Pro" w:cs="Adobe Caslon Pro"/>
          <w:color w:val="000000"/>
          <w:spacing w:val="-1"/>
          <w:kern w:val="0"/>
          <w:sz w:val="23"/>
          <w:szCs w:val="23"/>
        </w:rPr>
        <w:t xml:space="preserve"> or they can contradict default assumptions (sometimes called suppletive law). I might state that the title to my coin transfers </w:t>
      </w:r>
      <w:r w:rsidRPr="00F64C2B">
        <w:rPr>
          <w:rFonts w:ascii="Adobe Caslon Pro" w:hAnsi="Adobe Caslon Pro" w:cs="Adobe Caslon Pro"/>
          <w:i/>
          <w:iCs/>
          <w:color w:val="000000"/>
          <w:spacing w:val="-1"/>
          <w:kern w:val="0"/>
          <w:sz w:val="23"/>
          <w:szCs w:val="23"/>
        </w:rPr>
        <w:t>only</w:t>
      </w:r>
      <w:r w:rsidRPr="00F64C2B">
        <w:rPr>
          <w:rFonts w:ascii="Adobe Caslon Pro" w:hAnsi="Adobe Caslon Pro" w:cs="Adobe Caslon Pro"/>
          <w:color w:val="000000"/>
          <w:spacing w:val="-1"/>
          <w:kern w:val="0"/>
          <w:sz w:val="23"/>
          <w:szCs w:val="23"/>
        </w:rPr>
        <w:t xml:space="preserve"> if the candy bar has such-and-such property (e.g., it is unopened or fresh, or not laced with </w:t>
      </w:r>
      <w:proofErr w:type="gramStart"/>
      <w:r w:rsidRPr="00F64C2B">
        <w:rPr>
          <w:rFonts w:ascii="Adobe Caslon Pro" w:hAnsi="Adobe Caslon Pro" w:cs="Adobe Caslon Pro"/>
          <w:color w:val="000000"/>
          <w:spacing w:val="-1"/>
          <w:kern w:val="0"/>
          <w:sz w:val="23"/>
          <w:szCs w:val="23"/>
        </w:rPr>
        <w:t>poison;</w:t>
      </w:r>
      <w:proofErr w:type="gramEnd"/>
      <w:r w:rsidRPr="00F64C2B">
        <w:rPr>
          <w:rFonts w:ascii="Adobe Caslon Pro" w:hAnsi="Adobe Caslon Pro" w:cs="Adobe Caslon Pro"/>
          <w:color w:val="000000"/>
          <w:spacing w:val="-1"/>
          <w:kern w:val="0"/>
          <w:sz w:val="23"/>
          <w:szCs w:val="23"/>
        </w:rPr>
        <w:t xml:space="preserve"> although these would probably be default or implied conditions anyway). Therefore, the vendor receives my consent to use and take title to the coin </w:t>
      </w:r>
      <w:r w:rsidRPr="00F64C2B">
        <w:rPr>
          <w:rFonts w:ascii="Adobe Caslon Pro" w:hAnsi="Adobe Caslon Pro" w:cs="Adobe Caslon Pro"/>
          <w:i/>
          <w:iCs/>
          <w:color w:val="000000"/>
          <w:spacing w:val="-1"/>
          <w:kern w:val="0"/>
          <w:sz w:val="23"/>
          <w:szCs w:val="23"/>
        </w:rPr>
        <w:t>only</w:t>
      </w:r>
      <w:r w:rsidRPr="00F64C2B">
        <w:rPr>
          <w:rFonts w:ascii="Adobe Caslon Pro" w:hAnsi="Adobe Caslon Pro" w:cs="Adobe Caslon Pro"/>
          <w:color w:val="000000"/>
          <w:spacing w:val="-1"/>
          <w:kern w:val="0"/>
          <w:sz w:val="23"/>
          <w:szCs w:val="23"/>
        </w:rPr>
        <w:t xml:space="preserve"> if these conditions are met. If the vendor knowingly sells me a five-year-old piece of chocolate, then the condition for transferring title to the coin to him has simply not been met, and he is aware of this. </w:t>
      </w:r>
      <w:proofErr w:type="gramStart"/>
      <w:r w:rsidRPr="00F64C2B">
        <w:rPr>
          <w:rFonts w:ascii="Adobe Caslon Pro" w:hAnsi="Adobe Caslon Pro" w:cs="Adobe Caslon Pro"/>
          <w:color w:val="000000"/>
          <w:spacing w:val="-1"/>
          <w:kern w:val="0"/>
          <w:sz w:val="23"/>
          <w:szCs w:val="23"/>
        </w:rPr>
        <w:t>So</w:t>
      </w:r>
      <w:proofErr w:type="gramEnd"/>
      <w:r w:rsidRPr="00F64C2B">
        <w:rPr>
          <w:rFonts w:ascii="Adobe Caslon Pro" w:hAnsi="Adobe Caslon Pro" w:cs="Adobe Caslon Pro"/>
          <w:color w:val="000000"/>
          <w:spacing w:val="-1"/>
          <w:kern w:val="0"/>
          <w:sz w:val="23"/>
          <w:szCs w:val="23"/>
        </w:rPr>
        <w:t xml:space="preserve"> the vendor would be aware that he does </w:t>
      </w:r>
      <w:r w:rsidRPr="00F64C2B">
        <w:rPr>
          <w:rFonts w:ascii="Adobe Caslon Pro" w:hAnsi="Adobe Caslon Pro" w:cs="Adobe Caslon Pro"/>
          <w:i/>
          <w:iCs/>
          <w:color w:val="000000"/>
          <w:spacing w:val="-1"/>
          <w:kern w:val="0"/>
          <w:sz w:val="23"/>
          <w:szCs w:val="23"/>
        </w:rPr>
        <w:t>not</w:t>
      </w:r>
      <w:r w:rsidRPr="00F64C2B">
        <w:rPr>
          <w:rFonts w:ascii="Adobe Caslon Pro" w:hAnsi="Adobe Caslon Pro" w:cs="Adobe Caslon Pro"/>
          <w:color w:val="000000"/>
          <w:spacing w:val="-1"/>
          <w:kern w:val="0"/>
          <w:sz w:val="23"/>
          <w:szCs w:val="23"/>
        </w:rPr>
        <w:t xml:space="preserve"> have the right to use or keep the coin—just as, in the example above, my brother knows he may use my car to go to lunch, but that he has no right to use it to drive to Canada.</w:t>
      </w:r>
    </w:p>
    <w:p w14:paraId="76D4B7F5" w14:textId="112F8043" w:rsidR="00F64C2B" w:rsidRPr="00F64C2B" w:rsidRDefault="00F64C2B" w:rsidP="00F64C2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4C2B">
        <w:rPr>
          <w:rFonts w:ascii="Adobe Caslon Pro" w:hAnsi="Adobe Caslon Pro" w:cs="Adobe Caslon Pro"/>
          <w:color w:val="000000"/>
          <w:kern w:val="0"/>
          <w:sz w:val="23"/>
          <w:szCs w:val="23"/>
        </w:rPr>
        <w:t xml:space="preserve">Likewise, in the R-Burger/L-Burger example I gave, I assumed a hypothetical situation in which the customer wanted an R-Burger. That is, he wanted a burger having certain characteristics—it is fresh, has meat and bread, and was made by a certain, identifiable company (the R-Burger chain). When he paid for the fake R-Burger, then title to his coin transfers to the vendor only if the conditions are met. They are not met, because the burger was not made by the R-Burger chain, and that was one of the customer’s conditions. Therefore, the L-Burger </w:t>
      </w:r>
      <w:r w:rsidRPr="00F64C2B">
        <w:rPr>
          <w:rFonts w:ascii="Adobe Caslon Pro" w:hAnsi="Adobe Caslon Pro" w:cs="Adobe Caslon Pro"/>
          <w:color w:val="000000"/>
          <w:spacing w:val="-2"/>
          <w:kern w:val="0"/>
          <w:sz w:val="23"/>
          <w:szCs w:val="23"/>
        </w:rPr>
        <w:t>chain is taking and using his coin without his consent. It is for this reason</w:t>
      </w:r>
      <w:r w:rsidRPr="00F64C2B">
        <w:rPr>
          <w:rFonts w:ascii="Adobe Caslon Pro" w:hAnsi="Adobe Caslon Pro" w:cs="Adobe Caslon Pro"/>
          <w:color w:val="000000"/>
          <w:kern w:val="0"/>
          <w:sz w:val="23"/>
          <w:szCs w:val="23"/>
        </w:rPr>
        <w:t xml:space="preserve"> that he should have a claim against them for trespass (which may be couched in fraud, breach of contract, or theft terms).</w:t>
      </w:r>
      <w:r w:rsidRPr="00F64C2B">
        <w:rPr>
          <w:rFonts w:ascii="Adobe Caslon Pro" w:hAnsi="Adobe Caslon Pro" w:cs="Adobe Caslon Pro"/>
          <w:color w:val="000000"/>
          <w:kern w:val="0"/>
          <w:position w:val="2"/>
          <w:sz w:val="20"/>
          <w:szCs w:val="20"/>
          <w:vertAlign w:val="superscript"/>
        </w:rPr>
        <w:footnoteReference w:id="20"/>
      </w:r>
      <w:r w:rsidRPr="00F64C2B">
        <w:rPr>
          <w:rFonts w:ascii="Adobe Caslon Pro" w:hAnsi="Adobe Caslon Pro" w:cs="Adobe Caslon Pro"/>
          <w:color w:val="000000"/>
          <w:kern w:val="0"/>
          <w:sz w:val="23"/>
          <w:szCs w:val="23"/>
        </w:rPr>
        <w:t xml:space="preserve"> </w:t>
      </w:r>
    </w:p>
    <w:p w14:paraId="59A22F6F" w14:textId="77777777" w:rsidR="00F64C2B" w:rsidRPr="00F64C2B" w:rsidRDefault="00F64C2B" w:rsidP="00F64C2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4C2B">
        <w:rPr>
          <w:rFonts w:ascii="Adobe Caslon Pro" w:hAnsi="Adobe Caslon Pro" w:cs="Adobe Caslon Pro"/>
          <w:color w:val="000000"/>
          <w:spacing w:val="-1"/>
          <w:kern w:val="0"/>
          <w:sz w:val="23"/>
          <w:szCs w:val="23"/>
        </w:rPr>
        <w:t>Van Dun might argue that it is not possible to identify the R-Burger</w:t>
      </w:r>
      <w:r w:rsidRPr="00F64C2B">
        <w:rPr>
          <w:rFonts w:ascii="Adobe Caslon Pro" w:hAnsi="Adobe Caslon Pro" w:cs="Adobe Caslon Pro"/>
          <w:color w:val="000000"/>
          <w:kern w:val="0"/>
          <w:sz w:val="23"/>
          <w:szCs w:val="23"/>
        </w:rPr>
        <w:t xml:space="preserve"> chain if it does not have a trademark right and that the L-Burger chain can just rename itself “R-Burgers” too, so that when the customer asks for an R-Burger (i.e., conditions the title transfer to the money on it being made and sold by R-Burger), he is actually getting one. He is just getting it from the second R-Burger company, not the first R-Burger company. </w:t>
      </w:r>
    </w:p>
    <w:p w14:paraId="3E0291B6" w14:textId="77777777" w:rsidR="00F64C2B" w:rsidRPr="00F64C2B" w:rsidRDefault="00F64C2B" w:rsidP="00F64C2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4C2B">
        <w:rPr>
          <w:rFonts w:ascii="Adobe Caslon Pro" w:hAnsi="Adobe Caslon Pro" w:cs="Adobe Caslon Pro"/>
          <w:color w:val="000000"/>
          <w:kern w:val="0"/>
          <w:sz w:val="23"/>
          <w:szCs w:val="23"/>
        </w:rPr>
        <w:t xml:space="preserve">However, this response would be easy to overcome. </w:t>
      </w:r>
      <w:r w:rsidRPr="00F64C2B">
        <w:rPr>
          <w:rFonts w:ascii="Adobe Caslon Pro" w:hAnsi="Adobe Caslon Pro" w:cs="Adobe Caslon Pro"/>
          <w:i/>
          <w:iCs/>
          <w:color w:val="000000"/>
          <w:kern w:val="0"/>
          <w:sz w:val="23"/>
          <w:szCs w:val="23"/>
        </w:rPr>
        <w:t xml:space="preserve">It need only be possible for the customer to adequately identify what the condition is. </w:t>
      </w:r>
      <w:r w:rsidRPr="00F64C2B">
        <w:rPr>
          <w:rFonts w:ascii="Adobe Caslon Pro" w:hAnsi="Adobe Caslon Pro" w:cs="Adobe Caslon Pro"/>
          <w:color w:val="000000"/>
          <w:kern w:val="0"/>
          <w:sz w:val="23"/>
          <w:szCs w:val="23"/>
        </w:rPr>
        <w:t xml:space="preserve">Language is not infinitely malleable, and communication is (undeniably) possible. If pressed, the customer could specify that the purchase is conditioned on the current store he is in being owned by the same R-Burger company first started at such and such date and address, and so on. There is no reason it would be impossible to identify a given vendor without traditional trademark law, just as it is not impossible to identify fellow humans, </w:t>
      </w:r>
      <w:proofErr w:type="gramStart"/>
      <w:r w:rsidRPr="00F64C2B">
        <w:rPr>
          <w:rFonts w:ascii="Adobe Caslon Pro" w:hAnsi="Adobe Caslon Pro" w:cs="Adobe Caslon Pro"/>
          <w:color w:val="000000"/>
          <w:kern w:val="0"/>
          <w:sz w:val="23"/>
          <w:szCs w:val="23"/>
        </w:rPr>
        <w:t>despite the fact that</w:t>
      </w:r>
      <w:proofErr w:type="gramEnd"/>
      <w:r w:rsidRPr="00F64C2B">
        <w:rPr>
          <w:rFonts w:ascii="Adobe Caslon Pro" w:hAnsi="Adobe Caslon Pro" w:cs="Adobe Caslon Pro"/>
          <w:color w:val="000000"/>
          <w:kern w:val="0"/>
          <w:sz w:val="23"/>
          <w:szCs w:val="23"/>
        </w:rPr>
        <w:t xml:space="preserve"> we do not usually have trademarks on our names (in fact, humans often have identical names, e.g., John Smith).</w:t>
      </w:r>
    </w:p>
    <w:p w14:paraId="039CCB89" w14:textId="77777777" w:rsidR="00F64C2B" w:rsidRPr="00F64C2B" w:rsidRDefault="00F64C2B" w:rsidP="00F64C2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4C2B">
        <w:rPr>
          <w:rFonts w:ascii="Adobe Caslon Pro" w:hAnsi="Adobe Caslon Pro" w:cs="Adobe Caslon Pro"/>
          <w:color w:val="000000"/>
          <w:kern w:val="0"/>
          <w:sz w:val="23"/>
          <w:szCs w:val="23"/>
        </w:rPr>
        <w:t>Van Dun’s implicit assumption here is really that communication and identification of individuals or entities is literally impossible in the absence of trademark rights. I believe this is one of his central mistakes here. Van Dun seems to be so accustomed to the positive law’s trademark framework being relied on by modern businesses and consumers that he seems to believe accurate communication is impossible without it. This is obviously absurd.</w:t>
      </w:r>
      <w:r w:rsidRPr="00F64C2B">
        <w:rPr>
          <w:rFonts w:ascii="Adobe Caslon Pro" w:hAnsi="Adobe Caslon Pro" w:cs="Adobe Caslon Pro"/>
          <w:color w:val="000000"/>
          <w:kern w:val="0"/>
          <w:position w:val="2"/>
          <w:sz w:val="20"/>
          <w:szCs w:val="20"/>
          <w:vertAlign w:val="superscript"/>
        </w:rPr>
        <w:footnoteReference w:id="21"/>
      </w:r>
      <w:r w:rsidRPr="00F64C2B">
        <w:rPr>
          <w:rFonts w:ascii="Adobe Caslon Pro" w:hAnsi="Adobe Caslon Pro" w:cs="Adobe Caslon Pro"/>
          <w:color w:val="000000"/>
          <w:kern w:val="0"/>
          <w:sz w:val="23"/>
          <w:szCs w:val="23"/>
        </w:rPr>
        <w:t xml:space="preserve"> </w:t>
      </w:r>
    </w:p>
    <w:p w14:paraId="7A97EE87" w14:textId="31390722" w:rsidR="00F64C2B" w:rsidRDefault="00F64C2B" w:rsidP="00F64C2B">
      <w:r w:rsidRPr="00F64C2B">
        <w:rPr>
          <w:rFonts w:ascii="Adobe Caslon Pro" w:hAnsi="Adobe Caslon Pro" w:cs="Adobe Caslon Pro"/>
          <w:color w:val="000000"/>
          <w:spacing w:val="-1"/>
          <w:kern w:val="0"/>
          <w:sz w:val="23"/>
          <w:szCs w:val="23"/>
        </w:rPr>
        <w:t xml:space="preserve">Accordingly, I submit that Van Dun is incorrect. Under libertarian principles, property owners are free to condition the transfer of title to their property. In a typical exchange, there are many implied conditions, and others may be expressly added or changed. These conditions specify when the other party has the right to take and use the property to be transferred, just as when one lends property or invites a guest to one’s home, the manifested consent of the </w:t>
      </w:r>
      <w:r w:rsidRPr="00F64C2B">
        <w:rPr>
          <w:rFonts w:ascii="Adobe Caslon Pro" w:hAnsi="Adobe Caslon Pro" w:cs="Adobe Caslon Pro"/>
          <w:color w:val="000000"/>
          <w:spacing w:val="-1"/>
          <w:kern w:val="0"/>
          <w:sz w:val="23"/>
          <w:szCs w:val="23"/>
        </w:rPr>
        <w:lastRenderedPageBreak/>
        <w:t xml:space="preserve">owner governs which uses by the invitee are permissible and which are tantamount to trespass. From here, it is easy to see how selling an item to a customer with a </w:t>
      </w:r>
      <w:proofErr w:type="gramStart"/>
      <w:r w:rsidRPr="00F64C2B">
        <w:rPr>
          <w:rFonts w:ascii="Adobe Caslon Pro" w:hAnsi="Adobe Caslon Pro" w:cs="Adobe Caslon Pro"/>
          <w:color w:val="000000"/>
          <w:spacing w:val="-1"/>
          <w:kern w:val="0"/>
          <w:sz w:val="23"/>
          <w:szCs w:val="23"/>
        </w:rPr>
        <w:t>falsely-labeled</w:t>
      </w:r>
      <w:proofErr w:type="gramEnd"/>
      <w:r w:rsidRPr="00F64C2B">
        <w:rPr>
          <w:rFonts w:ascii="Adobe Caslon Pro" w:hAnsi="Adobe Caslon Pro" w:cs="Adobe Caslon Pro"/>
          <w:color w:val="000000"/>
          <w:spacing w:val="-1"/>
          <w:kern w:val="0"/>
          <w:sz w:val="23"/>
          <w:szCs w:val="23"/>
        </w:rPr>
        <w:t xml:space="preserve"> characteristic can result in title to the monetary payment not passing due to failure of one of the conditions. If title does not pass, then the vendor does not have a right to take, use, or spend the money; it is still the property of the customer.</w:t>
      </w:r>
    </w:p>
    <w:sectPr w:rsidR="00F64C2B" w:rsidSect="00F64C2B">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7CD67A" w14:textId="77777777" w:rsidR="007A2305" w:rsidRDefault="007A2305" w:rsidP="00F64C2B">
      <w:r>
        <w:separator/>
      </w:r>
    </w:p>
  </w:endnote>
  <w:endnote w:type="continuationSeparator" w:id="0">
    <w:p w14:paraId="3417BD1B" w14:textId="77777777" w:rsidR="007A2305" w:rsidRDefault="007A2305" w:rsidP="00F64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panose1 w:val="020A0602070306020403"/>
    <w:charset w:val="00"/>
    <w:family w:val="roman"/>
    <w:notTrueType/>
    <w:pitch w:val="variable"/>
    <w:sig w:usb0="800000AF" w:usb1="5000204A" w:usb2="00000000" w:usb3="00000000" w:csb0="0000008B"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w:panose1 w:val="0205050205050A020403"/>
    <w:charset w:val="4D"/>
    <w:family w:val="roman"/>
    <w:notTrueType/>
    <w:pitch w:val="variable"/>
    <w:sig w:usb0="00000007" w:usb1="00000001"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53B8AC" w14:textId="77777777" w:rsidR="007A2305" w:rsidRDefault="007A2305" w:rsidP="00F64C2B">
      <w:r>
        <w:separator/>
      </w:r>
    </w:p>
  </w:footnote>
  <w:footnote w:type="continuationSeparator" w:id="0">
    <w:p w14:paraId="3A6CBCBE" w14:textId="77777777" w:rsidR="007A2305" w:rsidRDefault="007A2305" w:rsidP="00F64C2B">
      <w:r>
        <w:continuationSeparator/>
      </w:r>
    </w:p>
  </w:footnote>
  <w:footnote w:id="1">
    <w:p w14:paraId="73D37E50" w14:textId="3274264D" w:rsidR="00F64C2B" w:rsidRDefault="00F64C2B" w:rsidP="00F64C2B">
      <w:pPr>
        <w:pStyle w:val="Footnotes"/>
        <w:rPr>
          <w:spacing w:val="-1"/>
        </w:rPr>
      </w:pPr>
      <w:r>
        <w:rPr>
          <w:vertAlign w:val="superscript"/>
        </w:rPr>
        <w:footnoteRef/>
      </w:r>
      <w:r>
        <w:rPr>
          <w:spacing w:val="-1"/>
        </w:rPr>
        <w:t> </w:t>
      </w:r>
      <w:r>
        <w:rPr>
          <w:spacing w:val="-1"/>
        </w:rPr>
        <w:t xml:space="preserve">Frank van Dun, “Against Libertarian Legalism: A Comment on Kinsella and Block,” </w:t>
      </w:r>
      <w:r>
        <w:rPr>
          <w:rStyle w:val="italic"/>
          <w:spacing w:val="-1"/>
        </w:rPr>
        <w:t>J. Libertarian Stud.</w:t>
      </w:r>
      <w:r>
        <w:rPr>
          <w:spacing w:val="-1"/>
        </w:rPr>
        <w:t xml:space="preserve"> 17, no. 3 (Summer 2003; https://mises.org/library/against-libertarian-legalism-comment-kinsella-and-block-0): 63–90, commenting on Kinsella, “Against Intellectual Property,” </w:t>
      </w:r>
      <w:r>
        <w:rPr>
          <w:rStyle w:val="italic"/>
          <w:spacing w:val="-1"/>
        </w:rPr>
        <w:t>J. Libertarian Stud.</w:t>
      </w:r>
      <w:r>
        <w:rPr>
          <w:spacing w:val="-1"/>
        </w:rPr>
        <w:t xml:space="preserve"> 15, no. 2 (Spring 2001): 1–53 and Walter Block, “Toward </w:t>
      </w:r>
      <w:r>
        <w:rPr>
          <w:spacing w:val="-2"/>
        </w:rPr>
        <w:t xml:space="preserve">a Libertarian Theory of Blackmail,” </w:t>
      </w:r>
      <w:r>
        <w:rPr>
          <w:rStyle w:val="italic"/>
          <w:spacing w:val="-2"/>
        </w:rPr>
        <w:t>J. Libertarian Stud.</w:t>
      </w:r>
      <w:r>
        <w:rPr>
          <w:spacing w:val="-2"/>
        </w:rPr>
        <w:t xml:space="preserve"> 15, no. 2 (Spring 2001; https://mises.</w:t>
      </w:r>
      <w:r>
        <w:rPr>
          <w:spacing w:val="-1"/>
        </w:rPr>
        <w:t xml:space="preserve">org/library/toward-libertarian-theory-blackmail): 55–88. Block’s reply is Walter Block, “Reply to ‘Against Libertarian Legalism’ by Frank van Dun,” </w:t>
      </w:r>
      <w:r>
        <w:rPr>
          <w:rStyle w:val="italic"/>
          <w:spacing w:val="-1"/>
        </w:rPr>
        <w:t>J. Libertarian Stud.</w:t>
      </w:r>
      <w:r>
        <w:rPr>
          <w:spacing w:val="-1"/>
        </w:rPr>
        <w:t xml:space="preserve"> 18, no. 2 (Spring 2004; https://mises.org/library/reply-against-libertarian-legalism-frank-van-dun): 1–30. In this chapter I focus on Van Dun’s criticism of my views. However, I agree with Block’s blackmail views and with his response to Van Dun and, in fact, have co-authored with Block on the blackmail topic. See Walter Block, Stephan Kinsella &amp; Hans-Hermann Hoppe, “The Second Paradox of Blackmail,” </w:t>
      </w:r>
      <w:r>
        <w:rPr>
          <w:rStyle w:val="italic"/>
          <w:spacing w:val="-1"/>
        </w:rPr>
        <w:t xml:space="preserve">Business Ethics Q. </w:t>
      </w:r>
      <w:r>
        <w:rPr>
          <w:spacing w:val="-1"/>
        </w:rPr>
        <w:t>10, 3 (July 2000): 593–622.</w:t>
      </w:r>
    </w:p>
    <w:p w14:paraId="13A1B089" w14:textId="06E099D3" w:rsidR="00F64C2B" w:rsidRDefault="00F64C2B" w:rsidP="00F64C2B">
      <w:pPr>
        <w:pStyle w:val="Footnotes"/>
      </w:pPr>
      <w:r>
        <w:t xml:space="preserve">Van Dun is a longtime friend whom I greatly respect. This is a friendly disagreement. We agree on other issues, such as argumentation ethics. See, e.g., Frank van Dun, “Argumentation Ethics and the Philosophy of Freedom,” </w:t>
      </w:r>
      <w:r>
        <w:rPr>
          <w:rStyle w:val="italic"/>
        </w:rPr>
        <w:t>Libertarian Papers</w:t>
      </w:r>
      <w:r>
        <w:t xml:space="preserve"> 1, art. no. 19 (2009; www.</w:t>
      </w:r>
      <w:r>
        <w:rPr>
          <w:spacing w:val="-2"/>
        </w:rPr>
        <w:t>libertarianpapers.org), and “Dialogical Arguments for Libertarian Rights” (</w:t>
      </w:r>
      <w:proofErr w:type="spellStart"/>
      <w:r>
        <w:rPr>
          <w:spacing w:val="-2"/>
        </w:rPr>
        <w:t>ch.</w:t>
      </w:r>
      <w:proofErr w:type="spellEnd"/>
      <w:r>
        <w:rPr>
          <w:spacing w:val="-2"/>
        </w:rPr>
        <w:t xml:space="preserve"> 6), “Defending</w:t>
      </w:r>
      <w:r w:rsidR="00124341">
        <w:rPr>
          <w:spacing w:val="-2"/>
        </w:rPr>
        <w:t xml:space="preserve"> </w:t>
      </w:r>
      <w:r>
        <w:t>Argumentation Ethics” (</w:t>
      </w:r>
      <w:proofErr w:type="spellStart"/>
      <w:r>
        <w:t>ch.</w:t>
      </w:r>
      <w:proofErr w:type="spellEnd"/>
      <w:r>
        <w:t xml:space="preserve"> 7), and “The Undeniable Morality of Capitalism” (</w:t>
      </w:r>
      <w:proofErr w:type="spellStart"/>
      <w:r>
        <w:t>ch.</w:t>
      </w:r>
      <w:proofErr w:type="spellEnd"/>
      <w:r>
        <w:t xml:space="preserve"> 22). I have also disagreed with another article of Van Dun’s, “Freedom and Property: Where They Conflict,” in </w:t>
      </w:r>
      <w:r>
        <w:rPr>
          <w:rStyle w:val="italic"/>
        </w:rPr>
        <w:t xml:space="preserve">Property, Freedom, and Society: Essays in Honor of Hans-Hermann </w:t>
      </w:r>
      <w:r>
        <w:t xml:space="preserve">Hoppe, Jörg Guido </w:t>
      </w:r>
      <w:proofErr w:type="spellStart"/>
      <w:r>
        <w:t>Hülsmann</w:t>
      </w:r>
      <w:proofErr w:type="spellEnd"/>
      <w:r>
        <w:t xml:space="preserve"> &amp; Stephan Kinsella, eds. (Auburn, Ala.: Mises Institute, 2009; https://mises.org/library/property-freedom-and-society-essays-honor-hans-hermann-hoppe); </w:t>
      </w:r>
      <w:r>
        <w:br/>
        <w:t xml:space="preserve">see Kinsella, “Van Dun on Freedom versus Property and Hostile Encirclement,” </w:t>
      </w:r>
      <w:r>
        <w:rPr>
          <w:rStyle w:val="italic"/>
        </w:rPr>
        <w:t>StephanKinsella.com</w:t>
      </w:r>
      <w:r>
        <w:t xml:space="preserve"> (Aug. 3, 2009). </w:t>
      </w:r>
    </w:p>
  </w:footnote>
  <w:footnote w:id="2">
    <w:p w14:paraId="3CFE39C8" w14:textId="77777777" w:rsidR="00F64C2B" w:rsidRDefault="00F64C2B" w:rsidP="00F64C2B">
      <w:pPr>
        <w:pStyle w:val="Footnotes"/>
      </w:pPr>
      <w:r>
        <w:rPr>
          <w:vertAlign w:val="superscript"/>
        </w:rPr>
        <w:footnoteRef/>
      </w:r>
      <w:r>
        <w:t> </w:t>
      </w:r>
      <w:r>
        <w:t>Van Dun, “Against Libertarian Legalism,” pp. 63–64.</w:t>
      </w:r>
    </w:p>
    <w:p w14:paraId="7FFB8877" w14:textId="77777777" w:rsidR="00F64C2B" w:rsidRDefault="00F64C2B" w:rsidP="00F64C2B">
      <w:pPr>
        <w:pStyle w:val="Footnotes"/>
      </w:pPr>
    </w:p>
  </w:footnote>
  <w:footnote w:id="3">
    <w:p w14:paraId="6FAF4320" w14:textId="77777777" w:rsidR="00F64C2B" w:rsidRDefault="00F64C2B" w:rsidP="00F64C2B">
      <w:pPr>
        <w:pStyle w:val="Footnotes"/>
      </w:pPr>
      <w:r>
        <w:rPr>
          <w:vertAlign w:val="superscript"/>
        </w:rPr>
        <w:footnoteRef/>
      </w:r>
      <w:r>
        <w:t> </w:t>
      </w:r>
      <w:r>
        <w:t>Ibid., p. 65 n. 4</w:t>
      </w:r>
    </w:p>
    <w:p w14:paraId="31AF133E" w14:textId="77777777" w:rsidR="00F64C2B" w:rsidRDefault="00F64C2B" w:rsidP="00F64C2B">
      <w:pPr>
        <w:pStyle w:val="Footnotes"/>
      </w:pPr>
    </w:p>
  </w:footnote>
  <w:footnote w:id="4">
    <w:p w14:paraId="24820BAA" w14:textId="77777777" w:rsidR="00F64C2B" w:rsidRDefault="00F64C2B" w:rsidP="00F64C2B">
      <w:pPr>
        <w:pStyle w:val="Footnotes"/>
      </w:pPr>
      <w:r>
        <w:rPr>
          <w:vertAlign w:val="superscript"/>
        </w:rPr>
        <w:footnoteRef/>
      </w:r>
      <w:r>
        <w:t> </w:t>
      </w:r>
      <w:r>
        <w:t>Ibid., p. 65.</w:t>
      </w:r>
    </w:p>
    <w:p w14:paraId="2C063FF1" w14:textId="77777777" w:rsidR="00F64C2B" w:rsidRDefault="00F64C2B" w:rsidP="00F64C2B">
      <w:pPr>
        <w:pStyle w:val="Footnotes"/>
      </w:pPr>
    </w:p>
  </w:footnote>
  <w:footnote w:id="5">
    <w:p w14:paraId="06CFC976" w14:textId="77777777" w:rsidR="00F64C2B" w:rsidRDefault="00F64C2B" w:rsidP="00F64C2B">
      <w:pPr>
        <w:pStyle w:val="Footnotes"/>
      </w:pPr>
      <w:r>
        <w:rPr>
          <w:vertAlign w:val="superscript"/>
        </w:rPr>
        <w:footnoteRef/>
      </w:r>
      <w:r>
        <w:t> </w:t>
      </w:r>
      <w:r>
        <w:t>Ibid.</w:t>
      </w:r>
    </w:p>
    <w:p w14:paraId="6C705D3A" w14:textId="77777777" w:rsidR="00F64C2B" w:rsidRDefault="00F64C2B" w:rsidP="00F64C2B">
      <w:pPr>
        <w:pStyle w:val="Footnotes"/>
      </w:pPr>
    </w:p>
  </w:footnote>
  <w:footnote w:id="6">
    <w:p w14:paraId="2DB55E1A" w14:textId="77777777" w:rsidR="00F64C2B" w:rsidRDefault="00F64C2B" w:rsidP="00F64C2B">
      <w:pPr>
        <w:pStyle w:val="Footnotes"/>
      </w:pPr>
      <w:r>
        <w:rPr>
          <w:vertAlign w:val="superscript"/>
        </w:rPr>
        <w:footnoteRef/>
      </w:r>
      <w:r>
        <w:t> </w:t>
      </w:r>
      <w:r>
        <w:t>Ibid., pp. 65–66, emphasis added.</w:t>
      </w:r>
    </w:p>
    <w:p w14:paraId="21E7D1CE" w14:textId="77777777" w:rsidR="00F64C2B" w:rsidRDefault="00F64C2B" w:rsidP="00F64C2B">
      <w:pPr>
        <w:pStyle w:val="Footnotes"/>
      </w:pPr>
    </w:p>
  </w:footnote>
  <w:footnote w:id="7">
    <w:p w14:paraId="556894D1" w14:textId="77777777" w:rsidR="00F64C2B" w:rsidRDefault="00F64C2B" w:rsidP="00F64C2B">
      <w:pPr>
        <w:pStyle w:val="Footnotes"/>
      </w:pPr>
      <w:r>
        <w:rPr>
          <w:vertAlign w:val="superscript"/>
        </w:rPr>
        <w:footnoteRef/>
      </w:r>
      <w:r>
        <w:t> </w:t>
      </w:r>
      <w:r>
        <w:t>Ibid., pp. 83–89.</w:t>
      </w:r>
    </w:p>
    <w:p w14:paraId="2821EC9F" w14:textId="77777777" w:rsidR="00F64C2B" w:rsidRDefault="00F64C2B" w:rsidP="00F64C2B">
      <w:pPr>
        <w:pStyle w:val="Footnotes"/>
      </w:pPr>
    </w:p>
  </w:footnote>
  <w:footnote w:id="8">
    <w:p w14:paraId="387F494F" w14:textId="77777777" w:rsidR="00F64C2B" w:rsidRDefault="00F64C2B" w:rsidP="00F64C2B">
      <w:pPr>
        <w:pStyle w:val="Footnotes"/>
      </w:pPr>
      <w:r>
        <w:rPr>
          <w:vertAlign w:val="superscript"/>
        </w:rPr>
        <w:footnoteRef/>
      </w:r>
      <w:r>
        <w:t> </w:t>
      </w:r>
      <w:r>
        <w:t>Ibid., p. 65, emphasis added.</w:t>
      </w:r>
    </w:p>
    <w:p w14:paraId="062C225C" w14:textId="77777777" w:rsidR="00F64C2B" w:rsidRDefault="00F64C2B" w:rsidP="00F64C2B">
      <w:pPr>
        <w:pStyle w:val="Footnotes"/>
      </w:pPr>
    </w:p>
  </w:footnote>
  <w:footnote w:id="9">
    <w:p w14:paraId="662EE1E9" w14:textId="77777777" w:rsidR="00F64C2B" w:rsidRDefault="00F64C2B" w:rsidP="00F64C2B">
      <w:pPr>
        <w:pStyle w:val="Footnotes"/>
      </w:pPr>
      <w:r>
        <w:rPr>
          <w:vertAlign w:val="superscript"/>
        </w:rPr>
        <w:footnoteRef/>
      </w:r>
      <w:r>
        <w:t> </w:t>
      </w:r>
      <w:r>
        <w:t>Ibid., p. 73, emphasis in original.</w:t>
      </w:r>
    </w:p>
    <w:p w14:paraId="2F9D9438" w14:textId="77777777" w:rsidR="00F64C2B" w:rsidRDefault="00F64C2B" w:rsidP="00F64C2B">
      <w:pPr>
        <w:pStyle w:val="Footnotes"/>
      </w:pPr>
    </w:p>
  </w:footnote>
  <w:footnote w:id="10">
    <w:p w14:paraId="4B4BE363" w14:textId="77777777" w:rsidR="00F64C2B" w:rsidRDefault="00F64C2B" w:rsidP="00F64C2B">
      <w:pPr>
        <w:pStyle w:val="Footnotes"/>
      </w:pPr>
      <w:r>
        <w:rPr>
          <w:vertAlign w:val="superscript"/>
        </w:rPr>
        <w:footnoteRef/>
      </w:r>
      <w:r>
        <w:t> </w:t>
      </w:r>
      <w:r>
        <w:t>In other chapters I have pointed out that the non-aggression principle, or NAP, is merely a concise shorthand for the libertarian conception of property rights, namely self-ownership and property rights in scarce resources acquired by original appropriation or contract. See e.g. “What Libertarianism Is” (</w:t>
      </w:r>
      <w:proofErr w:type="spellStart"/>
      <w:r>
        <w:t>ch.</w:t>
      </w:r>
      <w:proofErr w:type="spellEnd"/>
      <w:r>
        <w:t xml:space="preserve"> 2).</w:t>
      </w:r>
    </w:p>
    <w:p w14:paraId="395F2BE6" w14:textId="77777777" w:rsidR="00F64C2B" w:rsidRDefault="00F64C2B" w:rsidP="00F64C2B">
      <w:pPr>
        <w:pStyle w:val="Footnotes"/>
      </w:pPr>
    </w:p>
  </w:footnote>
  <w:footnote w:id="11">
    <w:p w14:paraId="1323F5B7" w14:textId="77777777" w:rsidR="00F64C2B" w:rsidRDefault="00F64C2B" w:rsidP="00F64C2B">
      <w:pPr>
        <w:pStyle w:val="Footnotes"/>
      </w:pPr>
      <w:r>
        <w:rPr>
          <w:vertAlign w:val="superscript"/>
        </w:rPr>
        <w:footnoteRef/>
      </w:r>
      <w:r>
        <w:t> </w:t>
      </w:r>
      <w:r>
        <w:t>Van Dun, “Against Libertarian Legalism,” p. 66.</w:t>
      </w:r>
    </w:p>
    <w:p w14:paraId="65963B2E" w14:textId="77777777" w:rsidR="00F64C2B" w:rsidRDefault="00F64C2B" w:rsidP="00F64C2B">
      <w:pPr>
        <w:pStyle w:val="Footnotes"/>
      </w:pPr>
    </w:p>
  </w:footnote>
  <w:footnote w:id="12">
    <w:p w14:paraId="4F693B69" w14:textId="77777777" w:rsidR="00F64C2B" w:rsidRDefault="00F64C2B" w:rsidP="00F64C2B">
      <w:pPr>
        <w:pStyle w:val="Footnotes"/>
      </w:pPr>
      <w:r>
        <w:rPr>
          <w:vertAlign w:val="superscript"/>
        </w:rPr>
        <w:footnoteRef/>
      </w:r>
      <w:r>
        <w:t> </w:t>
      </w:r>
      <w:r>
        <w:t>Ibid., p. 83.</w:t>
      </w:r>
    </w:p>
    <w:p w14:paraId="131913F9" w14:textId="77777777" w:rsidR="00F64C2B" w:rsidRDefault="00F64C2B" w:rsidP="00F64C2B">
      <w:pPr>
        <w:pStyle w:val="Footnotes"/>
      </w:pPr>
    </w:p>
  </w:footnote>
  <w:footnote w:id="13">
    <w:p w14:paraId="441FEF5B" w14:textId="77777777" w:rsidR="00F64C2B" w:rsidRDefault="00F64C2B" w:rsidP="00F64C2B">
      <w:pPr>
        <w:pStyle w:val="Footnotes"/>
      </w:pPr>
      <w:r>
        <w:rPr>
          <w:vertAlign w:val="superscript"/>
        </w:rPr>
        <w:footnoteRef/>
      </w:r>
      <w:r>
        <w:t> </w:t>
      </w:r>
      <w:r>
        <w:t>Ibid.</w:t>
      </w:r>
    </w:p>
    <w:p w14:paraId="182E3CDE" w14:textId="77777777" w:rsidR="00F64C2B" w:rsidRDefault="00F64C2B" w:rsidP="00F64C2B">
      <w:pPr>
        <w:pStyle w:val="Footnotes"/>
      </w:pPr>
    </w:p>
  </w:footnote>
  <w:footnote w:id="14">
    <w:p w14:paraId="40E1DD13" w14:textId="77777777" w:rsidR="00F64C2B" w:rsidRDefault="00F64C2B" w:rsidP="00F64C2B">
      <w:pPr>
        <w:pStyle w:val="Footnotes"/>
        <w:rPr>
          <w:spacing w:val="-1"/>
        </w:rPr>
      </w:pPr>
      <w:r>
        <w:rPr>
          <w:vertAlign w:val="superscript"/>
        </w:rPr>
        <w:footnoteRef/>
      </w:r>
      <w:r>
        <w:rPr>
          <w:spacing w:val="-1"/>
        </w:rPr>
        <w:t> </w:t>
      </w:r>
      <w:r>
        <w:rPr>
          <w:spacing w:val="-1"/>
        </w:rPr>
        <w:t>See, e.g., “Dialogical Arguments for Libertarian Rights” (</w:t>
      </w:r>
      <w:proofErr w:type="spellStart"/>
      <w:r>
        <w:rPr>
          <w:spacing w:val="-1"/>
        </w:rPr>
        <w:t>ch.</w:t>
      </w:r>
      <w:proofErr w:type="spellEnd"/>
      <w:r>
        <w:rPr>
          <w:spacing w:val="-1"/>
        </w:rPr>
        <w:t xml:space="preserve"> 6); “Defending Argumentation Ethics” (</w:t>
      </w:r>
      <w:proofErr w:type="spellStart"/>
      <w:r>
        <w:rPr>
          <w:spacing w:val="-1"/>
        </w:rPr>
        <w:t>ch.</w:t>
      </w:r>
      <w:proofErr w:type="spellEnd"/>
      <w:r>
        <w:rPr>
          <w:spacing w:val="-1"/>
        </w:rPr>
        <w:t xml:space="preserve"> 7); “The Undeniable Morality of Capitalism” (</w:t>
      </w:r>
      <w:proofErr w:type="spellStart"/>
      <w:r>
        <w:rPr>
          <w:spacing w:val="-1"/>
        </w:rPr>
        <w:t>ch.</w:t>
      </w:r>
      <w:proofErr w:type="spellEnd"/>
      <w:r>
        <w:rPr>
          <w:spacing w:val="-1"/>
        </w:rPr>
        <w:t xml:space="preserve"> 22); Hans-Hermann Hoppe, </w:t>
      </w:r>
      <w:r>
        <w:rPr>
          <w:rStyle w:val="italic"/>
          <w:spacing w:val="-1"/>
        </w:rPr>
        <w:t>A Theory of Socialism and Capitalism: Economics, Politics, and Ethics</w:t>
      </w:r>
      <w:r>
        <w:rPr>
          <w:spacing w:val="-1"/>
        </w:rPr>
        <w:t xml:space="preserve"> (Auburn, Ala.: Mises Institute, 2010 [1989], www.hanshoppe.com/tsc); </w:t>
      </w:r>
      <w:r>
        <w:rPr>
          <w:rStyle w:val="italic"/>
          <w:spacing w:val="-1"/>
        </w:rPr>
        <w:t>idem</w:t>
      </w:r>
      <w:r>
        <w:rPr>
          <w:spacing w:val="-1"/>
        </w:rPr>
        <w:t xml:space="preserve">, </w:t>
      </w:r>
      <w:r>
        <w:rPr>
          <w:rStyle w:val="italic"/>
          <w:spacing w:val="-1"/>
        </w:rPr>
        <w:t>The Economics and Ethics of Private Property: Studies in Political Economy and Philosophy</w:t>
      </w:r>
      <w:r>
        <w:rPr>
          <w:spacing w:val="-1"/>
        </w:rPr>
        <w:t xml:space="preserve"> (Auburn, Ala.: Mises Institute, 2006 [1993]; www.hanshoppe.com/eepp).</w:t>
      </w:r>
    </w:p>
    <w:p w14:paraId="33EB063B" w14:textId="77777777" w:rsidR="00F64C2B" w:rsidRDefault="00F64C2B" w:rsidP="00F64C2B">
      <w:pPr>
        <w:pStyle w:val="Footnotes"/>
      </w:pPr>
    </w:p>
  </w:footnote>
  <w:footnote w:id="15">
    <w:p w14:paraId="5A5AE797" w14:textId="77777777" w:rsidR="00F64C2B" w:rsidRDefault="00F64C2B" w:rsidP="00F64C2B">
      <w:pPr>
        <w:pStyle w:val="Footnotes"/>
      </w:pPr>
      <w:r>
        <w:rPr>
          <w:vertAlign w:val="superscript"/>
        </w:rPr>
        <w:footnoteRef/>
      </w:r>
      <w:r>
        <w:t> </w:t>
      </w:r>
      <w:r>
        <w:t>See “Dialogical Arguments for Libertarian Rights” (</w:t>
      </w:r>
      <w:proofErr w:type="spellStart"/>
      <w:r>
        <w:t>ch.</w:t>
      </w:r>
      <w:proofErr w:type="spellEnd"/>
      <w:r>
        <w:t xml:space="preserve"> 6), text at n.31, discussing Van Dun.</w:t>
      </w:r>
    </w:p>
    <w:p w14:paraId="6C7363BE" w14:textId="77777777" w:rsidR="00F64C2B" w:rsidRDefault="00F64C2B" w:rsidP="00F64C2B">
      <w:pPr>
        <w:pStyle w:val="Footnotes"/>
      </w:pPr>
    </w:p>
  </w:footnote>
  <w:footnote w:id="16">
    <w:p w14:paraId="21C672B3" w14:textId="77777777" w:rsidR="00F64C2B" w:rsidRDefault="00F64C2B" w:rsidP="00F64C2B">
      <w:pPr>
        <w:pStyle w:val="Footnotes"/>
      </w:pPr>
      <w:r>
        <w:rPr>
          <w:vertAlign w:val="superscript"/>
        </w:rPr>
        <w:footnoteRef/>
      </w:r>
      <w:r>
        <w:t> </w:t>
      </w:r>
      <w:r>
        <w:t>Kinsella, “Against Intellectual Property,” pp. 43–44.</w:t>
      </w:r>
    </w:p>
    <w:p w14:paraId="552B0E79" w14:textId="77777777" w:rsidR="00F64C2B" w:rsidRDefault="00F64C2B" w:rsidP="00F64C2B">
      <w:pPr>
        <w:pStyle w:val="Footnotes"/>
      </w:pPr>
    </w:p>
  </w:footnote>
  <w:footnote w:id="17">
    <w:p w14:paraId="6FD722CD" w14:textId="77777777" w:rsidR="00F64C2B" w:rsidRDefault="00F64C2B" w:rsidP="00F64C2B">
      <w:pPr>
        <w:pStyle w:val="Footnotes"/>
      </w:pPr>
      <w:r>
        <w:rPr>
          <w:vertAlign w:val="superscript"/>
        </w:rPr>
        <w:footnoteRef/>
      </w:r>
      <w:r>
        <w:t> </w:t>
      </w:r>
      <w:r>
        <w:t>Van Dun, “Against Libertarian Legalism,” p. 68.</w:t>
      </w:r>
    </w:p>
    <w:p w14:paraId="2B5F136D" w14:textId="77777777" w:rsidR="00F64C2B" w:rsidRDefault="00F64C2B" w:rsidP="00F64C2B">
      <w:pPr>
        <w:pStyle w:val="Footnotes"/>
      </w:pPr>
    </w:p>
  </w:footnote>
  <w:footnote w:id="18">
    <w:p w14:paraId="7979074C" w14:textId="77777777" w:rsidR="00F64C2B" w:rsidRDefault="00F64C2B" w:rsidP="00F64C2B">
      <w:pPr>
        <w:pStyle w:val="Footnotes"/>
      </w:pPr>
      <w:r>
        <w:rPr>
          <w:vertAlign w:val="superscript"/>
        </w:rPr>
        <w:footnoteRef/>
      </w:r>
      <w:r>
        <w:t> </w:t>
      </w:r>
      <w:r>
        <w:t>Ibid., p. 68.</w:t>
      </w:r>
    </w:p>
    <w:p w14:paraId="3319F27C" w14:textId="77777777" w:rsidR="00F64C2B" w:rsidRDefault="00F64C2B" w:rsidP="00F64C2B">
      <w:pPr>
        <w:pStyle w:val="Footnotes"/>
      </w:pPr>
    </w:p>
  </w:footnote>
  <w:footnote w:id="19">
    <w:p w14:paraId="05784CE7" w14:textId="77777777" w:rsidR="00F64C2B" w:rsidRDefault="00F64C2B" w:rsidP="00F64C2B">
      <w:pPr>
        <w:pStyle w:val="Footnotes"/>
      </w:pPr>
      <w:r>
        <w:rPr>
          <w:vertAlign w:val="superscript"/>
        </w:rPr>
        <w:footnoteRef/>
      </w:r>
      <w:r>
        <w:t> </w:t>
      </w:r>
      <w:r>
        <w:rPr>
          <w:spacing w:val="-2"/>
        </w:rPr>
        <w:t xml:space="preserve">“A Libertarian Theory of Contract: Title Transfer, Binding Promises, and Inalienability” </w:t>
      </w:r>
      <w:r>
        <w:t>(</w:t>
      </w:r>
      <w:proofErr w:type="spellStart"/>
      <w:r>
        <w:t>ch.</w:t>
      </w:r>
      <w:proofErr w:type="spellEnd"/>
      <w:r>
        <w:t xml:space="preserve"> 9), in particular Part III.E.</w:t>
      </w:r>
    </w:p>
    <w:p w14:paraId="732AE2D3" w14:textId="77777777" w:rsidR="00F64C2B" w:rsidRDefault="00F64C2B" w:rsidP="00F64C2B">
      <w:pPr>
        <w:pStyle w:val="Footnotes"/>
      </w:pPr>
    </w:p>
  </w:footnote>
  <w:footnote w:id="20">
    <w:p w14:paraId="4F4CBF99" w14:textId="77777777" w:rsidR="00F64C2B" w:rsidRDefault="00F64C2B" w:rsidP="00F64C2B">
      <w:pPr>
        <w:pStyle w:val="Footnotes"/>
      </w:pPr>
      <w:r>
        <w:rPr>
          <w:vertAlign w:val="superscript"/>
        </w:rPr>
        <w:footnoteRef/>
      </w:r>
      <w:r>
        <w:t> </w:t>
      </w:r>
      <w:r>
        <w:t>Such as “larceny by trick.” See “A Libertarian Theory of Contract” (</w:t>
      </w:r>
      <w:proofErr w:type="spellStart"/>
      <w:r>
        <w:t>ch.</w:t>
      </w:r>
      <w:proofErr w:type="spellEnd"/>
      <w:r>
        <w:t xml:space="preserve"> 9), Part III.E and</w:t>
      </w:r>
      <w:proofErr w:type="gramStart"/>
      <w:r>
        <w:t>, in particular, text</w:t>
      </w:r>
      <w:proofErr w:type="gramEnd"/>
      <w:r>
        <w:t xml:space="preserve"> accompanying n.63, </w:t>
      </w:r>
      <w:r>
        <w:rPr>
          <w:rStyle w:val="italic"/>
        </w:rPr>
        <w:t>et pass</w:t>
      </w:r>
      <w:r>
        <w:t>.</w:t>
      </w:r>
    </w:p>
    <w:p w14:paraId="4E5F2FAA" w14:textId="77777777" w:rsidR="00F64C2B" w:rsidRDefault="00F64C2B" w:rsidP="00F64C2B">
      <w:pPr>
        <w:pStyle w:val="Footnotes"/>
      </w:pPr>
    </w:p>
  </w:footnote>
  <w:footnote w:id="21">
    <w:p w14:paraId="34B479DB" w14:textId="77777777" w:rsidR="00F64C2B" w:rsidRDefault="00F64C2B" w:rsidP="00F64C2B">
      <w:pPr>
        <w:pStyle w:val="Footnotes"/>
      </w:pPr>
      <w:r>
        <w:rPr>
          <w:vertAlign w:val="superscript"/>
        </w:rPr>
        <w:footnoteRef/>
      </w:r>
      <w:r>
        <w:t> </w:t>
      </w:r>
      <w:r>
        <w:t xml:space="preserve">To the contrary. Not only is trademark law not necessary for humans to be able to communicate with each other, but trademark law, like copyright, </w:t>
      </w:r>
      <w:r>
        <w:rPr>
          <w:rStyle w:val="italic"/>
        </w:rPr>
        <w:t>impedes</w:t>
      </w:r>
      <w:r>
        <w:t xml:space="preserve"> the ability to communicate. See, e.g., Wendy J. Gordon, “A Property Right in Self-Expression: Equality and Individualism in the Natural Law of Intellectual Property,” </w:t>
      </w:r>
      <w:r>
        <w:rPr>
          <w:rStyle w:val="italic"/>
        </w:rPr>
        <w:t xml:space="preserve">Yale L. J. </w:t>
      </w:r>
      <w:r>
        <w:t xml:space="preserve">102, no. 7 (1993; https://scholarship.law.bu.edu/faculty_scholarship/1981/): 1533–1610, at 1585, discussing the U.S. Olympic Committee’s attempt to use trademark law to prevent an organization from calling its games the “Gay Olympics.” As Gordon writes: </w:t>
      </w:r>
    </w:p>
    <w:p w14:paraId="0AB38C05" w14:textId="77777777" w:rsidR="00F64C2B" w:rsidRDefault="00F64C2B" w:rsidP="00F64C2B">
      <w:pPr>
        <w:pStyle w:val="FootnoteBlockquotes"/>
      </w:pPr>
      <w:r>
        <w:t xml:space="preserve">When the courts </w:t>
      </w:r>
      <w:proofErr w:type="gramStart"/>
      <w:r>
        <w:t>have to</w:t>
      </w:r>
      <w:proofErr w:type="gramEnd"/>
      <w:r>
        <w:t xml:space="preserve"> choose between depriving the trademark owners of some </w:t>
      </w:r>
      <w:r>
        <w:rPr>
          <w:spacing w:val="0"/>
        </w:rPr>
        <w:t>of the “fruits of their labor,” on the one hand, or depriving the public and competing</w:t>
      </w:r>
      <w:r>
        <w:t xml:space="preserve"> manufacturers of the </w:t>
      </w:r>
      <w:r>
        <w:rPr>
          <w:rStyle w:val="italic"/>
        </w:rPr>
        <w:t>ability to communicate simply and accurately on the other</w:t>
      </w:r>
      <w:r>
        <w:t xml:space="preserve">, the courts opt to sacrifice the creators’ reward in favor of securing </w:t>
      </w:r>
      <w:r>
        <w:rPr>
          <w:rStyle w:val="italic"/>
        </w:rPr>
        <w:t>the public’s liberty of communication</w:t>
      </w:r>
      <w:r>
        <w:t>. Thus, if the word “Olympic” is a generic communicative term, it would not be protectable as a trademark.</w:t>
      </w:r>
    </w:p>
    <w:p w14:paraId="250F5DE8" w14:textId="77777777" w:rsidR="00F64C2B" w:rsidRDefault="00F64C2B" w:rsidP="00F64C2B">
      <w:pPr>
        <w:pStyle w:val="Footnotes"/>
        <w:ind w:firstLine="0"/>
      </w:pPr>
      <w:r>
        <w:t>Ibid. (emphasis added; citations omitted).</w:t>
      </w:r>
    </w:p>
    <w:p w14:paraId="599248B3" w14:textId="77777777" w:rsidR="00F64C2B" w:rsidRDefault="00F64C2B" w:rsidP="00F64C2B">
      <w:pPr>
        <w:pStyle w:val="Footnotes"/>
        <w:ind w:firstLine="0"/>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C2B"/>
    <w:rsid w:val="00124341"/>
    <w:rsid w:val="00650923"/>
    <w:rsid w:val="007A2305"/>
    <w:rsid w:val="00867903"/>
    <w:rsid w:val="00975CD6"/>
    <w:rsid w:val="00AD3865"/>
    <w:rsid w:val="00B84D57"/>
    <w:rsid w:val="00B95331"/>
    <w:rsid w:val="00D15055"/>
    <w:rsid w:val="00F64C2B"/>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D93C3B"/>
  <w14:defaultImageDpi w14:val="32767"/>
  <w15:chartTrackingRefBased/>
  <w15:docId w15:val="{2092D1C9-7094-F84D-B07C-5EC010B2F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4C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64C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64C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64C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64C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64C2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64C2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64C2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64C2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4C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64C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64C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64C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64C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64C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64C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64C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64C2B"/>
    <w:rPr>
      <w:rFonts w:eastAsiaTheme="majorEastAsia" w:cstheme="majorBidi"/>
      <w:color w:val="272727" w:themeColor="text1" w:themeTint="D8"/>
    </w:rPr>
  </w:style>
  <w:style w:type="paragraph" w:styleId="Title">
    <w:name w:val="Title"/>
    <w:basedOn w:val="Normal"/>
    <w:next w:val="Normal"/>
    <w:link w:val="TitleChar"/>
    <w:uiPriority w:val="10"/>
    <w:qFormat/>
    <w:rsid w:val="00F64C2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4C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4C2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4C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64C2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64C2B"/>
    <w:rPr>
      <w:i/>
      <w:iCs/>
      <w:color w:val="404040" w:themeColor="text1" w:themeTint="BF"/>
    </w:rPr>
  </w:style>
  <w:style w:type="paragraph" w:styleId="ListParagraph">
    <w:name w:val="List Paragraph"/>
    <w:basedOn w:val="Normal"/>
    <w:uiPriority w:val="34"/>
    <w:qFormat/>
    <w:rsid w:val="00F64C2B"/>
    <w:pPr>
      <w:ind w:left="720"/>
      <w:contextualSpacing/>
    </w:pPr>
  </w:style>
  <w:style w:type="character" w:styleId="IntenseEmphasis">
    <w:name w:val="Intense Emphasis"/>
    <w:basedOn w:val="DefaultParagraphFont"/>
    <w:uiPriority w:val="21"/>
    <w:qFormat/>
    <w:rsid w:val="00F64C2B"/>
    <w:rPr>
      <w:i/>
      <w:iCs/>
      <w:color w:val="0F4761" w:themeColor="accent1" w:themeShade="BF"/>
    </w:rPr>
  </w:style>
  <w:style w:type="paragraph" w:styleId="IntenseQuote">
    <w:name w:val="Intense Quote"/>
    <w:basedOn w:val="Normal"/>
    <w:next w:val="Normal"/>
    <w:link w:val="IntenseQuoteChar"/>
    <w:uiPriority w:val="30"/>
    <w:qFormat/>
    <w:rsid w:val="00F64C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64C2B"/>
    <w:rPr>
      <w:i/>
      <w:iCs/>
      <w:color w:val="0F4761" w:themeColor="accent1" w:themeShade="BF"/>
    </w:rPr>
  </w:style>
  <w:style w:type="character" w:styleId="IntenseReference">
    <w:name w:val="Intense Reference"/>
    <w:basedOn w:val="DefaultParagraphFont"/>
    <w:uiPriority w:val="32"/>
    <w:qFormat/>
    <w:rsid w:val="00F64C2B"/>
    <w:rPr>
      <w:b/>
      <w:bCs/>
      <w:smallCaps/>
      <w:color w:val="0F4761" w:themeColor="accent1" w:themeShade="BF"/>
      <w:spacing w:val="5"/>
    </w:rPr>
  </w:style>
  <w:style w:type="paragraph" w:customStyle="1" w:styleId="ChapterNumbers">
    <w:name w:val="Chapter Numbers"/>
    <w:basedOn w:val="Normal"/>
    <w:uiPriority w:val="99"/>
    <w:rsid w:val="00F64C2B"/>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F64C2B"/>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Footnotes">
    <w:name w:val="Footnotes"/>
    <w:basedOn w:val="Normal"/>
    <w:uiPriority w:val="99"/>
    <w:rsid w:val="00F64C2B"/>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character" w:customStyle="1" w:styleId="italic">
    <w:name w:val="italic"/>
    <w:uiPriority w:val="99"/>
    <w:rsid w:val="00F64C2B"/>
    <w:rPr>
      <w:i/>
      <w:iCs/>
    </w:rPr>
  </w:style>
  <w:style w:type="paragraph" w:customStyle="1" w:styleId="body">
    <w:name w:val="body"/>
    <w:basedOn w:val="Normal"/>
    <w:uiPriority w:val="99"/>
    <w:rsid w:val="00F64C2B"/>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FirstParagraph">
    <w:name w:val="First Paragraph"/>
    <w:basedOn w:val="body"/>
    <w:uiPriority w:val="99"/>
    <w:rsid w:val="00F64C2B"/>
    <w:pPr>
      <w:ind w:firstLine="0"/>
    </w:pPr>
  </w:style>
  <w:style w:type="paragraph" w:customStyle="1" w:styleId="Subheads">
    <w:name w:val="Subheads"/>
    <w:basedOn w:val="ChapterTitles"/>
    <w:uiPriority w:val="99"/>
    <w:rsid w:val="00F64C2B"/>
    <w:pPr>
      <w:spacing w:before="720" w:after="180" w:line="280" w:lineRule="atLeast"/>
    </w:pPr>
    <w:rPr>
      <w:caps/>
      <w:spacing w:val="4"/>
      <w:sz w:val="24"/>
      <w:szCs w:val="24"/>
    </w:rPr>
  </w:style>
  <w:style w:type="paragraph" w:customStyle="1" w:styleId="blockquote">
    <w:name w:val="blockquote"/>
    <w:basedOn w:val="body"/>
    <w:uiPriority w:val="99"/>
    <w:rsid w:val="00F64C2B"/>
    <w:pPr>
      <w:spacing w:before="180" w:after="180" w:line="240" w:lineRule="atLeast"/>
      <w:ind w:left="360" w:right="360" w:firstLine="0"/>
    </w:pPr>
    <w:rPr>
      <w:sz w:val="20"/>
      <w:szCs w:val="20"/>
    </w:rPr>
  </w:style>
  <w:style w:type="paragraph" w:customStyle="1" w:styleId="FootnoteBlockquotes">
    <w:name w:val="Footnote Blockquotes"/>
    <w:basedOn w:val="Footnotes"/>
    <w:uiPriority w:val="99"/>
    <w:rsid w:val="00F64C2B"/>
    <w:pPr>
      <w:ind w:left="270" w:right="270" w:firstLine="0"/>
    </w:pPr>
    <w:rPr>
      <w:spacing w:val="1"/>
    </w:rPr>
  </w:style>
  <w:style w:type="character" w:customStyle="1" w:styleId="FootnoteInTextNumber">
    <w:name w:val="Footnote InText Number"/>
    <w:uiPriority w:val="99"/>
    <w:rsid w:val="00F64C2B"/>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2876</Words>
  <Characters>16395</Characters>
  <Application>Microsoft Office Word</Application>
  <DocSecurity>0</DocSecurity>
  <Lines>136</Lines>
  <Paragraphs>38</Paragraphs>
  <ScaleCrop>false</ScaleCrop>
  <Company/>
  <LinksUpToDate>false</LinksUpToDate>
  <CharactersWithSpaces>19233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2024-12-31T17:18:00Z</dcterms:created>
  <dcterms:modified xsi:type="dcterms:W3CDTF">2024-12-31T17:21:00Z</dcterms:modified>
</cp:coreProperties>
</file>