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1DCBA4" w14:textId="31013A29" w:rsidR="00697FFD" w:rsidRPr="006A2867" w:rsidRDefault="00F96AB6" w:rsidP="003530F9">
      <w:pPr>
        <w:jc w:val="center"/>
        <w:rPr>
          <w:b/>
          <w:bCs/>
          <w:sz w:val="28"/>
          <w:szCs w:val="28"/>
        </w:rPr>
      </w:pPr>
      <w:r w:rsidRPr="006A2867">
        <w:rPr>
          <w:b/>
          <w:bCs/>
          <w:sz w:val="28"/>
          <w:szCs w:val="28"/>
        </w:rPr>
        <w:t>The Title-Transfer Theory of Contract</w:t>
      </w:r>
    </w:p>
    <w:p w14:paraId="6085FDC7" w14:textId="77777777" w:rsidR="00F96AB6" w:rsidRPr="006A2867" w:rsidRDefault="00F96AB6" w:rsidP="00996300">
      <w:pPr>
        <w:rPr>
          <w:sz w:val="28"/>
          <w:szCs w:val="28"/>
        </w:rPr>
      </w:pPr>
    </w:p>
    <w:p w14:paraId="30A9CD15" w14:textId="2DC03198" w:rsidR="00580D30" w:rsidRPr="006A2867" w:rsidRDefault="00F96AB6" w:rsidP="003530F9">
      <w:pPr>
        <w:jc w:val="center"/>
      </w:pPr>
      <w:r w:rsidRPr="006A2867">
        <w:t xml:space="preserve">in </w:t>
      </w:r>
      <w:bookmarkStart w:id="0" w:name="OLE_LINK1"/>
      <w:bookmarkStart w:id="1" w:name="OLE_LINK2"/>
      <w:r w:rsidRPr="006A2867">
        <w:t xml:space="preserve">David Howden, ed., </w:t>
      </w:r>
      <w:r w:rsidRPr="006A2867">
        <w:rPr>
          <w:i/>
          <w:iCs/>
        </w:rPr>
        <w:t>Palgrave Handbook of Misesian Austrian Economics</w:t>
      </w:r>
      <w:r w:rsidRPr="006A2867">
        <w:t xml:space="preserve"> (Palgrave, forthcoming 202</w:t>
      </w:r>
      <w:r w:rsidR="00624424">
        <w:t>7</w:t>
      </w:r>
      <w:r w:rsidRPr="006A2867">
        <w:t>)</w:t>
      </w:r>
      <w:bookmarkEnd w:id="0"/>
      <w:bookmarkEnd w:id="1"/>
    </w:p>
    <w:p w14:paraId="248791D2" w14:textId="77777777" w:rsidR="00F96AB6" w:rsidRPr="006A2867" w:rsidRDefault="00F96AB6" w:rsidP="00996300">
      <w:pPr>
        <w:rPr>
          <w:sz w:val="28"/>
          <w:szCs w:val="28"/>
        </w:rPr>
      </w:pPr>
    </w:p>
    <w:p w14:paraId="0DBFEC32" w14:textId="15C973FE" w:rsidR="0097350F" w:rsidRPr="006A2867" w:rsidRDefault="00F3585B" w:rsidP="003530F9">
      <w:pPr>
        <w:jc w:val="center"/>
      </w:pPr>
      <w:bookmarkStart w:id="2" w:name="OLE_LINK811"/>
      <w:bookmarkStart w:id="3" w:name="OLE_LINK812"/>
      <w:r w:rsidRPr="006A2867">
        <w:t>Stephan Kinsella</w:t>
      </w:r>
      <w:r w:rsidR="002A3477">
        <w:rPr>
          <w:rStyle w:val="FootnoteReference"/>
        </w:rPr>
        <w:footnoteReference w:id="2"/>
      </w:r>
    </w:p>
    <w:p w14:paraId="184B0F90" w14:textId="77777777" w:rsidR="00F3585B" w:rsidRPr="006A2867" w:rsidRDefault="00F3585B" w:rsidP="00996300"/>
    <w:p w14:paraId="078FD38D" w14:textId="7F4053A4" w:rsidR="002A3477" w:rsidRDefault="002A3477" w:rsidP="00996300">
      <w:pPr>
        <w:sectPr w:rsidR="002A3477" w:rsidSect="00AE379F">
          <w:headerReference w:type="default" r:id="rId8"/>
          <w:footerReference w:type="even" r:id="rId9"/>
          <w:footerReference w:type="default" r:id="rId10"/>
          <w:footnotePr>
            <w:numFmt w:val="chicago"/>
            <w:numRestart w:val="eachSect"/>
          </w:footnotePr>
          <w:pgSz w:w="12240" w:h="15840"/>
          <w:pgMar w:top="1440" w:right="1440" w:bottom="1440" w:left="1440" w:header="720" w:footer="720" w:gutter="0"/>
          <w:cols w:space="720"/>
          <w:titlePg/>
          <w:docGrid w:linePitch="360"/>
        </w:sectPr>
      </w:pPr>
    </w:p>
    <w:p w14:paraId="611A4594" w14:textId="77777777" w:rsidR="00624424" w:rsidRPr="00624424" w:rsidRDefault="00624424" w:rsidP="00624424">
      <w:pPr>
        <w:rPr>
          <w:b/>
          <w:bCs/>
        </w:rPr>
      </w:pPr>
      <w:r w:rsidRPr="00624424">
        <w:rPr>
          <w:b/>
          <w:bCs/>
        </w:rPr>
        <w:t>Abstract</w:t>
      </w:r>
    </w:p>
    <w:p w14:paraId="492510B6" w14:textId="77777777" w:rsidR="00624424" w:rsidRPr="00624424" w:rsidRDefault="00624424" w:rsidP="00624424">
      <w:r w:rsidRPr="00624424">
        <w:t>Conventional contract theory views contracts as binding promises that create enforceable legal obligations, whether rooted in will, reliance, fairness, efficiency, or bargain. These approaches suffer from various shortcomings, including circular justifications (e.g., detrimental reliance) and incoherence in remedies: courts rarely order specific performance for obligations “to do” something, instead awarding damages that effectively reduce all contracts to transfers of title to owned resources.</w:t>
      </w:r>
    </w:p>
    <w:p w14:paraId="2DFEEF49" w14:textId="77777777" w:rsidR="00624424" w:rsidRPr="00624424" w:rsidRDefault="00624424" w:rsidP="00624424">
      <w:r w:rsidRPr="00624424">
        <w:t>This chapter advances an improved title-transfer theory of contract (TTTC), building on earlier work by Murray Rothbard and Williamson Evers but rejecting Rothbard’s problematic notion of “implicit theft.” Under the TTTC, contracts are not binding promises or sources of obligation but consensual transfers of title to alienable property—whether gratuitous, reciprocal, or conditional. Ownership (the right to exclude) inherently implies the right to transfer title by consent, rendering formalistic requirements like consideration unnecessary and permitting gift contracts as in the civil law.</w:t>
      </w:r>
    </w:p>
    <w:p w14:paraId="282E7CD7" w14:textId="77777777" w:rsidR="00624424" w:rsidRPr="00624424" w:rsidRDefault="00624424" w:rsidP="00624424">
      <w:r w:rsidRPr="00624424">
        <w:t>The TTTC eliminates the concepts of “breach of contract” and promissory obligation, explains performance bonds and “damages” as pre-specified conditional title transfers, clarifies why fraud constitutes aggression, and resolves inconsistencies regarding voluntary slavery and debtor’s prison. It provides a coherent, property-rights-based foundation for contract that aligns economic exchange with legal institutions supporting possession and control, while avoiding reliance on circular or promise-based legal obligations.</w:t>
      </w:r>
    </w:p>
    <w:p w14:paraId="1EE3B845" w14:textId="2D08B532" w:rsidR="0097350F" w:rsidRPr="006A2867" w:rsidRDefault="0097350F" w:rsidP="00996300"/>
    <w:p w14:paraId="0BEC99B9" w14:textId="110AC496" w:rsidR="008E1BFC" w:rsidRPr="006A2867" w:rsidRDefault="00FA1D6B" w:rsidP="003530F9">
      <w:pPr>
        <w:spacing w:before="360" w:after="120"/>
        <w:jc w:val="center"/>
        <w:rPr>
          <w:b/>
          <w:bCs/>
        </w:rPr>
      </w:pPr>
      <w:bookmarkStart w:id="4" w:name="OLE_LINK334"/>
      <w:bookmarkStart w:id="5" w:name="OLE_LINK335"/>
      <w:bookmarkStart w:id="6" w:name="OLE_LINK469"/>
      <w:bookmarkStart w:id="7" w:name="OLE_LINK470"/>
      <w:bookmarkStart w:id="8" w:name="OLE_LINK814"/>
      <w:r>
        <w:rPr>
          <w:b/>
          <w:bCs/>
        </w:rPr>
        <w:t xml:space="preserve">I. </w:t>
      </w:r>
      <w:r w:rsidR="005857A4">
        <w:rPr>
          <w:b/>
          <w:bCs/>
        </w:rPr>
        <w:t>Economics, Law, and Contract Theory</w:t>
      </w:r>
    </w:p>
    <w:p w14:paraId="14A93A31" w14:textId="34B422CC" w:rsidR="00E02A02" w:rsidRDefault="00E862A1" w:rsidP="00686A5D">
      <w:pPr>
        <w:spacing w:after="120"/>
      </w:pPr>
      <w:bookmarkStart w:id="9" w:name="OLE_LINK285"/>
      <w:bookmarkStart w:id="10" w:name="OLE_LINK286"/>
      <w:bookmarkStart w:id="11" w:name="OLE_LINK370"/>
      <w:bookmarkStart w:id="12" w:name="OLE_LINK371"/>
      <w:bookmarkStart w:id="13" w:name="OLE_LINK287"/>
      <w:bookmarkStart w:id="14" w:name="OLE_LINK288"/>
      <w:r>
        <w:t>Mises</w:t>
      </w:r>
      <w:r w:rsidR="006A367A">
        <w:t xml:space="preserve">’s writing includes </w:t>
      </w:r>
      <w:r w:rsidR="00285F69">
        <w:t xml:space="preserve">both </w:t>
      </w:r>
      <w:r w:rsidR="00CF02EA">
        <w:t>economic or descriptive analysis</w:t>
      </w:r>
      <w:r w:rsidR="00285F69">
        <w:t xml:space="preserve"> </w:t>
      </w:r>
      <w:r w:rsidR="006F56DB">
        <w:t xml:space="preserve">as well as </w:t>
      </w:r>
      <w:r w:rsidR="00285F69">
        <w:t>normative or prescriptive</w:t>
      </w:r>
      <w:r w:rsidR="006F56DB">
        <w:t xml:space="preserve"> analysis</w:t>
      </w:r>
      <w:r w:rsidR="00285F69">
        <w:t xml:space="preserve">, but he was careful to treat them distinctly. </w:t>
      </w:r>
      <w:r w:rsidR="00CD63E7">
        <w:t>(Kinsella 2023</w:t>
      </w:r>
      <w:r w:rsidR="00D13B2B">
        <w:t>b</w:t>
      </w:r>
      <w:r w:rsidR="00CD63E7">
        <w:t>, n45</w:t>
      </w:r>
      <w:r w:rsidR="00567B4F">
        <w:t>;</w:t>
      </w:r>
      <w:r w:rsidR="00CD63E7">
        <w:t xml:space="preserve"> </w:t>
      </w:r>
      <w:r w:rsidR="00CF02EA">
        <w:t>2021</w:t>
      </w:r>
      <w:r w:rsidR="00567B4F">
        <w:t>; Mises 19</w:t>
      </w:r>
      <w:r w:rsidR="000F0831">
        <w:t>81</w:t>
      </w:r>
      <w:r w:rsidR="00EF5125">
        <w:t xml:space="preserve">, ch. 1, </w:t>
      </w:r>
      <w:r w:rsidR="00266C58">
        <w:t>§</w:t>
      </w:r>
      <w:r w:rsidR="00EF5125">
        <w:t>1, p. 27</w:t>
      </w:r>
      <w:r w:rsidR="006F4974">
        <w:t xml:space="preserve">) </w:t>
      </w:r>
      <w:r w:rsidR="000C1487">
        <w:t xml:space="preserve">For example, </w:t>
      </w:r>
      <w:r w:rsidR="00E21D02">
        <w:t>he</w:t>
      </w:r>
      <w:r w:rsidR="000C1487">
        <w:t xml:space="preserve"> </w:t>
      </w:r>
      <w:r w:rsidR="009E4EF0">
        <w:t>distinguish</w:t>
      </w:r>
      <w:r w:rsidR="000C1487">
        <w:t>ed</w:t>
      </w:r>
      <w:r w:rsidR="009E4EF0">
        <w:t xml:space="preserve"> the ca</w:t>
      </w:r>
      <w:r w:rsidR="00035AA6">
        <w:t>u</w:t>
      </w:r>
      <w:r w:rsidR="009E4EF0">
        <w:t xml:space="preserve">sal </w:t>
      </w:r>
      <w:r w:rsidR="00803C4E">
        <w:t xml:space="preserve">and descriptive </w:t>
      </w:r>
      <w:r w:rsidR="009E4EF0">
        <w:t xml:space="preserve">concept of “ownership,” or </w:t>
      </w:r>
      <w:r w:rsidR="009E4EF0">
        <w:lastRenderedPageBreak/>
        <w:t>“control”</w:t>
      </w:r>
      <w:r w:rsidR="00BF0920">
        <w:t xml:space="preserve">—which he called sociological or </w:t>
      </w:r>
      <w:r w:rsidR="000C0264">
        <w:t xml:space="preserve">catallactic </w:t>
      </w:r>
      <w:r w:rsidR="00BF0920">
        <w:t>ownership—</w:t>
      </w:r>
      <w:r w:rsidR="009E4EF0">
        <w:t xml:space="preserve">from the legal or normative notion of legal </w:t>
      </w:r>
      <w:r w:rsidR="009E4EF0">
        <w:rPr>
          <w:i/>
          <w:iCs/>
        </w:rPr>
        <w:t xml:space="preserve">rights </w:t>
      </w:r>
      <w:r w:rsidR="009E4EF0" w:rsidRPr="00C93542">
        <w:t xml:space="preserve">of </w:t>
      </w:r>
      <w:r w:rsidR="009E4EF0">
        <w:t>ownership</w:t>
      </w:r>
      <w:r w:rsidR="00D26002">
        <w:t xml:space="preserve"> </w:t>
      </w:r>
      <w:r w:rsidR="006E1920">
        <w:t>(</w:t>
      </w:r>
      <w:r w:rsidR="00D26002">
        <w:t xml:space="preserve">Mises </w:t>
      </w:r>
      <w:r w:rsidR="000C1487">
        <w:t>19</w:t>
      </w:r>
      <w:r w:rsidR="000F0831">
        <w:t>81</w:t>
      </w:r>
      <w:r w:rsidR="000C1487">
        <w:t xml:space="preserve">, </w:t>
      </w:r>
      <w:r w:rsidR="00535467">
        <w:t>p. 27</w:t>
      </w:r>
      <w:r w:rsidR="006E1920">
        <w:t>).</w:t>
      </w:r>
      <w:r w:rsidR="00E02A02">
        <w:t xml:space="preserve"> As he wrote</w:t>
      </w:r>
      <w:r w:rsidR="006E1920">
        <w:t>:</w:t>
      </w:r>
    </w:p>
    <w:p w14:paraId="46222FEC" w14:textId="4D9480C4" w:rsidR="00E02A02" w:rsidRPr="005F015C" w:rsidRDefault="00E02A02" w:rsidP="00996300">
      <w:pPr>
        <w:spacing w:after="120"/>
        <w:ind w:left="900" w:right="900"/>
      </w:pPr>
      <w:r w:rsidRPr="00E02A02">
        <w:rPr>
          <w:sz w:val="22"/>
          <w:szCs w:val="22"/>
        </w:rPr>
        <w:t>Ownership means full control of the services that can be derived from a good. This catallactic notion of ownership and property rights is not to be confused with the legal definition of ownership and property rights as stated in the laws of various countries. It was the idea of legislators and courts to define the legal concept of property in such a way as to give to the proprietor full protection by the governmental apparatus of coercion and compulsion, and to prevent anybody from encroaching upon his rights. As far as this purpose was adequately realized, the legal concept of property rights corresponded to the catallactic concept.</w:t>
      </w:r>
      <w:r w:rsidR="009359CD">
        <w:rPr>
          <w:sz w:val="22"/>
          <w:szCs w:val="22"/>
        </w:rPr>
        <w:t xml:space="preserve"> (</w:t>
      </w:r>
      <w:r w:rsidR="009359CD">
        <w:t>Mises 1998</w:t>
      </w:r>
      <w:r w:rsidR="00996300">
        <w:t xml:space="preserve">, </w:t>
      </w:r>
      <w:r w:rsidR="009359CD">
        <w:t xml:space="preserve">pp. </w:t>
      </w:r>
      <w:r w:rsidR="009359CD">
        <w:rPr>
          <w:sz w:val="22"/>
          <w:szCs w:val="22"/>
        </w:rPr>
        <w:t>678–79)</w:t>
      </w:r>
    </w:p>
    <w:p w14:paraId="1EA717AC" w14:textId="4D8B8348" w:rsidR="008B2682" w:rsidRDefault="008D70A0" w:rsidP="00996300">
      <w:pPr>
        <w:spacing w:after="120"/>
        <w:ind w:firstLine="720"/>
      </w:pPr>
      <w:bookmarkStart w:id="15" w:name="OLE_LINK526"/>
      <w:bookmarkStart w:id="16" w:name="OLE_LINK527"/>
      <w:r>
        <w:t xml:space="preserve">Mises </w:t>
      </w:r>
      <w:r w:rsidR="0009286A">
        <w:t xml:space="preserve">thus </w:t>
      </w:r>
      <w:r w:rsidR="00CE1013">
        <w:t>distinguished</w:t>
      </w:r>
      <w:r>
        <w:t xml:space="preserve"> between </w:t>
      </w:r>
      <w:r>
        <w:rPr>
          <w:i/>
          <w:iCs/>
        </w:rPr>
        <w:t>possession</w:t>
      </w:r>
      <w:r>
        <w:t xml:space="preserve"> or</w:t>
      </w:r>
      <w:r w:rsidR="009A7C9C">
        <w:t xml:space="preserve"> the</w:t>
      </w:r>
      <w:r>
        <w:t xml:space="preserve"> capacity to control or wield</w:t>
      </w:r>
      <w:r w:rsidR="007B773F">
        <w:t xml:space="preserve"> (use, employ)</w:t>
      </w:r>
      <w:r>
        <w:t xml:space="preserve"> some resource</w:t>
      </w:r>
      <w:r w:rsidR="007B773F">
        <w:t xml:space="preserve">—his </w:t>
      </w:r>
      <w:r>
        <w:t xml:space="preserve">catallactic or sociological </w:t>
      </w:r>
      <w:r w:rsidR="00524234">
        <w:t>“</w:t>
      </w:r>
      <w:r>
        <w:t>ownership</w:t>
      </w:r>
      <w:r w:rsidR="00524234">
        <w:t>”</w:t>
      </w:r>
      <w:r w:rsidR="007B773F">
        <w:t>—</w:t>
      </w:r>
      <w:r>
        <w:t xml:space="preserve">and </w:t>
      </w:r>
      <w:r w:rsidRPr="00341824">
        <w:t>legal</w:t>
      </w:r>
      <w:r>
        <w:t xml:space="preserve"> </w:t>
      </w:r>
      <w:r w:rsidR="00CE1013">
        <w:t xml:space="preserve">or juristic </w:t>
      </w:r>
      <w:r>
        <w:t xml:space="preserve">ownership, which </w:t>
      </w:r>
      <w:r w:rsidR="00CE1013">
        <w:t>is normative</w:t>
      </w:r>
      <w:r>
        <w:t>.</w:t>
      </w:r>
      <w:r w:rsidR="00752ACF">
        <w:rPr>
          <w:rStyle w:val="FootnoteReference"/>
        </w:rPr>
        <w:footnoteReference w:id="3"/>
      </w:r>
      <w:r w:rsidR="008B2682">
        <w:t xml:space="preserve"> Likewise, </w:t>
      </w:r>
      <w:bookmarkStart w:id="20" w:name="OLE_LINK473"/>
      <w:bookmarkStart w:id="21" w:name="OLE_LINK474"/>
      <w:r w:rsidR="008B2682">
        <w:t>Böhm-</w:t>
      </w:r>
      <w:proofErr w:type="spellStart"/>
      <w:r w:rsidR="008B2682">
        <w:t>Bawerk</w:t>
      </w:r>
      <w:proofErr w:type="spellEnd"/>
      <w:r w:rsidR="008B2682">
        <w:t xml:space="preserve"> (1962, p. </w:t>
      </w:r>
      <w:r w:rsidR="00720BB2">
        <w:t>5</w:t>
      </w:r>
      <w:r w:rsidR="008B2682">
        <w:t>7)</w:t>
      </w:r>
      <w:bookmarkEnd w:id="20"/>
      <w:bookmarkEnd w:id="21"/>
      <w:r w:rsidR="008B2682">
        <w:t xml:space="preserve"> noted that “legitimate possession is something apart from and in addition to physical possession.”</w:t>
      </w:r>
      <w:r w:rsidR="005D2113">
        <w:t xml:space="preserve"> This distinction has long been recognized by </w:t>
      </w:r>
      <w:r w:rsidR="00C458B9">
        <w:t xml:space="preserve">the </w:t>
      </w:r>
      <w:r w:rsidR="005D2113">
        <w:t xml:space="preserve">Roman </w:t>
      </w:r>
      <w:r w:rsidR="00A675CB">
        <w:t>l</w:t>
      </w:r>
      <w:r w:rsidR="005D2113">
        <w:t>aw and legal scholars.</w:t>
      </w:r>
      <w:r w:rsidR="005D2113">
        <w:rPr>
          <w:rStyle w:val="FootnoteReference"/>
        </w:rPr>
        <w:footnoteReference w:id="4"/>
      </w:r>
      <w:r w:rsidR="008B2682">
        <w:t xml:space="preserve"> </w:t>
      </w:r>
    </w:p>
    <w:p w14:paraId="0DF9CF07" w14:textId="702BB842" w:rsidR="00241DC2" w:rsidRDefault="00220E5B" w:rsidP="00996300">
      <w:pPr>
        <w:spacing w:after="120"/>
        <w:ind w:firstLine="720"/>
      </w:pPr>
      <w:r>
        <w:t xml:space="preserve">In order </w:t>
      </w:r>
      <w:r w:rsidR="007C706E">
        <w:t>t</w:t>
      </w:r>
      <w:r w:rsidR="00BB642A">
        <w:t xml:space="preserve">o analyze our </w:t>
      </w:r>
      <w:r w:rsidR="0033697B">
        <w:t xml:space="preserve">actual, </w:t>
      </w:r>
      <w:r w:rsidR="007D19C5">
        <w:t xml:space="preserve">modern </w:t>
      </w:r>
      <w:r w:rsidR="00BB642A">
        <w:t xml:space="preserve">world, economists introduce </w:t>
      </w:r>
      <w:r w:rsidR="008860B5">
        <w:t>additional real-world</w:t>
      </w:r>
      <w:r w:rsidR="00BB642A">
        <w:t xml:space="preserve"> assumptions, such a</w:t>
      </w:r>
      <w:r w:rsidR="006E1920">
        <w:t xml:space="preserve">s </w:t>
      </w:r>
      <w:r w:rsidR="00074794">
        <w:t>the exi</w:t>
      </w:r>
      <w:r w:rsidR="000D68B7">
        <w:t>s</w:t>
      </w:r>
      <w:r w:rsidR="00074794">
        <w:t>tence of</w:t>
      </w:r>
      <w:r w:rsidR="00BB642A">
        <w:t xml:space="preserve"> society, money</w:t>
      </w:r>
      <w:r w:rsidR="006E1920">
        <w:t xml:space="preserve">, </w:t>
      </w:r>
      <w:r w:rsidR="00A371AD">
        <w:t xml:space="preserve">trade, </w:t>
      </w:r>
      <w:r w:rsidR="006E1920">
        <w:t>legal systems and</w:t>
      </w:r>
      <w:r w:rsidR="00B26082">
        <w:t xml:space="preserve"> law</w:t>
      </w:r>
      <w:r w:rsidR="006E1920">
        <w:t>s</w:t>
      </w:r>
      <w:r w:rsidR="00281B66">
        <w:t xml:space="preserve">, and the </w:t>
      </w:r>
      <w:r w:rsidR="00B26082">
        <w:t>state</w:t>
      </w:r>
      <w:r w:rsidR="00281B66">
        <w:t xml:space="preserve"> itself</w:t>
      </w:r>
      <w:r w:rsidR="005A4F0C">
        <w:t xml:space="preserve"> (Mises 2003, </w:t>
      </w:r>
      <w:r w:rsidR="005A4F0C" w:rsidRPr="00400EEE">
        <w:t>1.I.6</w:t>
      </w:r>
      <w:r w:rsidR="005A4F0C">
        <w:t>; Mises 1962, ch.</w:t>
      </w:r>
      <w:r w:rsidR="005A4F0C" w:rsidRPr="00DF6E13">
        <w:t xml:space="preserve"> 2, </w:t>
      </w:r>
      <w:r w:rsidR="005A4F0C">
        <w:t>§</w:t>
      </w:r>
      <w:r w:rsidR="005A4F0C" w:rsidRPr="00DF6E13">
        <w:t>5</w:t>
      </w:r>
      <w:r w:rsidR="005A4F0C">
        <w:t xml:space="preserve">; Mises 1998, </w:t>
      </w:r>
      <w:r w:rsidR="005A4F0C" w:rsidRPr="001308B8">
        <w:t xml:space="preserve">ch. 2, </w:t>
      </w:r>
      <w:r w:rsidR="005A4F0C">
        <w:t>§</w:t>
      </w:r>
      <w:r w:rsidR="005A4F0C" w:rsidRPr="001308B8">
        <w:t>10</w:t>
      </w:r>
      <w:r w:rsidR="005A4F0C">
        <w:t>; Hoppe 2010, pp. 9–10, 142; Kinsella 2010</w:t>
      </w:r>
      <w:r w:rsidR="00A6168A">
        <w:t>b</w:t>
      </w:r>
      <w:r w:rsidR="005A4F0C">
        <w:t>)</w:t>
      </w:r>
      <w:r w:rsidR="00BB642A">
        <w:t xml:space="preserve">. </w:t>
      </w:r>
      <w:r w:rsidR="00582BBB">
        <w:t>As well, t</w:t>
      </w:r>
      <w:r w:rsidR="00BB642A">
        <w:t xml:space="preserve">o analyze the implications or consequences of state intervention, some analyses assume various </w:t>
      </w:r>
      <w:r w:rsidR="00B729F2">
        <w:t xml:space="preserve">state laws that </w:t>
      </w:r>
      <w:r w:rsidR="00BB642A">
        <w:t>“hamper”</w:t>
      </w:r>
      <w:r w:rsidR="00B729F2">
        <w:t xml:space="preserve"> </w:t>
      </w:r>
      <w:r w:rsidR="00BB642A">
        <w:t>free market</w:t>
      </w:r>
      <w:r w:rsidR="00B729F2">
        <w:t>s</w:t>
      </w:r>
      <w:r w:rsidR="00BB642A">
        <w:t xml:space="preserve"> (Mises</w:t>
      </w:r>
      <w:r w:rsidR="007A21EF">
        <w:t xml:space="preserve"> 1998</w:t>
      </w:r>
      <w:r w:rsidR="00342C20">
        <w:t xml:space="preserve">, Part </w:t>
      </w:r>
      <w:r w:rsidR="007A21EF">
        <w:t>6</w:t>
      </w:r>
      <w:r w:rsidR="00342C20">
        <w:t xml:space="preserve">; </w:t>
      </w:r>
      <w:r w:rsidR="00BB642A">
        <w:t>Rothbard</w:t>
      </w:r>
      <w:r w:rsidR="002F1F56">
        <w:t xml:space="preserve"> </w:t>
      </w:r>
      <w:r w:rsidR="001B2D60">
        <w:t>2009</w:t>
      </w:r>
      <w:r w:rsidR="002F1F56">
        <w:t>, ch. 12</w:t>
      </w:r>
      <w:r w:rsidR="00241DC2">
        <w:t>)</w:t>
      </w:r>
      <w:r w:rsidR="00740736">
        <w:t>.</w:t>
      </w:r>
    </w:p>
    <w:p w14:paraId="44A5B6E2" w14:textId="26715D14" w:rsidR="00005D9D" w:rsidRPr="00724AB3" w:rsidRDefault="00BB642A" w:rsidP="00996300">
      <w:pPr>
        <w:spacing w:after="120"/>
        <w:ind w:firstLine="720"/>
      </w:pPr>
      <w:bookmarkStart w:id="22" w:name="OLE_LINK522"/>
      <w:bookmarkStart w:id="23" w:name="OLE_LINK523"/>
      <w:bookmarkStart w:id="24" w:name="OLE_LINK524"/>
      <w:bookmarkStart w:id="25" w:name="OLE_LINK525"/>
      <w:r>
        <w:t>In addition to assuming the existence of other people (society)</w:t>
      </w:r>
      <w:r w:rsidR="00FE0064">
        <w:t>,</w:t>
      </w:r>
      <w:r>
        <w:t xml:space="preserve"> free trade (exchange, the division and specialization of labor)</w:t>
      </w:r>
      <w:r w:rsidR="000109C2">
        <w:t>,</w:t>
      </w:r>
      <w:r>
        <w:t xml:space="preserve"> and money (catallactics), certain legal institutions are also assumed to be present, namely property rights and contract. </w:t>
      </w:r>
      <w:r w:rsidR="00422698">
        <w:t xml:space="preserve">Legal ownership, or property rights, may be thought of as the legal </w:t>
      </w:r>
      <w:r w:rsidR="00005D9D">
        <w:t xml:space="preserve">institutional </w:t>
      </w:r>
      <w:r w:rsidR="00422698">
        <w:t xml:space="preserve">supports </w:t>
      </w:r>
      <w:r w:rsidR="00005D9D">
        <w:t xml:space="preserve">for </w:t>
      </w:r>
      <w:r w:rsidR="00422698">
        <w:t xml:space="preserve">possession </w:t>
      </w:r>
      <w:r w:rsidR="00005D9D">
        <w:t>and</w:t>
      </w:r>
      <w:r w:rsidR="0064100E">
        <w:t xml:space="preserve"> control </w:t>
      </w:r>
      <w:r w:rsidR="00422698">
        <w:t>of means</w:t>
      </w:r>
      <w:r w:rsidR="00005D9D">
        <w:t xml:space="preserve">. </w:t>
      </w:r>
      <w:r w:rsidR="00162DC2">
        <w:t>The legal system</w:t>
      </w:r>
      <w:r w:rsidR="00005D9D">
        <w:t xml:space="preserve"> bolsters or complements </w:t>
      </w:r>
      <w:r w:rsidR="00E9455D">
        <w:t>the ability of actors to u</w:t>
      </w:r>
      <w:r w:rsidR="00E9455D" w:rsidRPr="00724AB3">
        <w:t>se and possess resources</w:t>
      </w:r>
      <w:r w:rsidR="00005D9D" w:rsidRPr="00724AB3">
        <w:t xml:space="preserve">. When the law succeeds in securing property rights, then </w:t>
      </w:r>
      <w:bookmarkStart w:id="26" w:name="OLE_LINK465"/>
      <w:bookmarkStart w:id="27" w:name="OLE_LINK466"/>
      <w:r w:rsidR="00005D9D" w:rsidRPr="00724AB3">
        <w:t>“the legal concept of property rights correspond[s] to the catallactic concept</w:t>
      </w:r>
      <w:r w:rsidR="006E0322">
        <w:t>.</w:t>
      </w:r>
      <w:r w:rsidR="00005D9D" w:rsidRPr="00724AB3">
        <w:t>” (Mises 1998, ch. XXIV, §4, p. 679)</w:t>
      </w:r>
      <w:bookmarkEnd w:id="26"/>
      <w:bookmarkEnd w:id="27"/>
      <w:r w:rsidR="00005D9D" w:rsidRPr="00724AB3">
        <w:t xml:space="preserve"> Or as Böhm-</w:t>
      </w:r>
      <w:proofErr w:type="spellStart"/>
      <w:r w:rsidR="00005D9D" w:rsidRPr="00724AB3">
        <w:t>Bawerk</w:t>
      </w:r>
      <w:proofErr w:type="spellEnd"/>
      <w:r w:rsidR="00005D9D" w:rsidRPr="00724AB3">
        <w:t xml:space="preserve"> (1962, p. </w:t>
      </w:r>
      <w:r w:rsidR="00720BB2" w:rsidRPr="00724AB3">
        <w:t>58</w:t>
      </w:r>
      <w:r w:rsidR="00005D9D" w:rsidRPr="00724AB3">
        <w:t xml:space="preserve">) explains, “legal rights carry economic significance only if and to the extent that they embody physical </w:t>
      </w:r>
      <w:proofErr w:type="gramStart"/>
      <w:r w:rsidR="00005D9D" w:rsidRPr="00724AB3">
        <w:t>control, or</w:t>
      </w:r>
      <w:proofErr w:type="gramEnd"/>
      <w:r w:rsidR="00005D9D" w:rsidRPr="00724AB3">
        <w:t xml:space="preserve"> at least imply a means of acquiring such control.” </w:t>
      </w:r>
      <w:r w:rsidR="002A0EDC" w:rsidRPr="00724AB3">
        <w:t>Thus, for</w:t>
      </w:r>
      <w:r w:rsidR="00005D9D" w:rsidRPr="00724AB3">
        <w:t xml:space="preserve"> Böhm-</w:t>
      </w:r>
      <w:proofErr w:type="spellStart"/>
      <w:r w:rsidR="00005D9D" w:rsidRPr="00724AB3">
        <w:t>Bawerk</w:t>
      </w:r>
      <w:proofErr w:type="spellEnd"/>
      <w:r w:rsidR="00005D9D" w:rsidRPr="00724AB3">
        <w:t xml:space="preserve">, </w:t>
      </w:r>
      <w:r w:rsidR="00005D9D" w:rsidRPr="00724AB3">
        <w:lastRenderedPageBreak/>
        <w:t xml:space="preserve">“legal enforcement is only complementary to the effective power of </w:t>
      </w:r>
      <w:proofErr w:type="gramStart"/>
      <w:r w:rsidR="00005D9D" w:rsidRPr="00724AB3">
        <w:t>disposal, and</w:t>
      </w:r>
      <w:proofErr w:type="gramEnd"/>
      <w:r w:rsidR="00005D9D" w:rsidRPr="00724AB3">
        <w:t xml:space="preserve"> merely extends the latter in scope” (</w:t>
      </w:r>
      <w:proofErr w:type="spellStart"/>
      <w:r w:rsidR="00005D9D" w:rsidRPr="00724AB3">
        <w:t>Campan</w:t>
      </w:r>
      <w:proofErr w:type="spellEnd"/>
      <w:r w:rsidR="00005D9D" w:rsidRPr="00724AB3">
        <w:t xml:space="preserve"> 1999, p. 24)</w:t>
      </w:r>
      <w:r w:rsidR="002A0EDC" w:rsidRPr="00724AB3">
        <w:t>.</w:t>
      </w:r>
      <w:bookmarkEnd w:id="22"/>
      <w:bookmarkEnd w:id="23"/>
      <w:r w:rsidR="00422698" w:rsidRPr="00724AB3">
        <w:t xml:space="preserve"> </w:t>
      </w:r>
    </w:p>
    <w:bookmarkEnd w:id="15"/>
    <w:bookmarkEnd w:id="16"/>
    <w:bookmarkEnd w:id="24"/>
    <w:bookmarkEnd w:id="25"/>
    <w:p w14:paraId="1083A69B" w14:textId="6D18F299" w:rsidR="00473B1E" w:rsidRDefault="00422698" w:rsidP="00996300">
      <w:pPr>
        <w:spacing w:after="120"/>
        <w:ind w:firstLine="720"/>
      </w:pPr>
      <w:r>
        <w:t>Likewise, c</w:t>
      </w:r>
      <w:r w:rsidR="00BB642A">
        <w:t>ontract</w:t>
      </w:r>
      <w:r w:rsidR="00D41B39">
        <w:t xml:space="preserve"> law</w:t>
      </w:r>
      <w:r w:rsidR="00BB642A">
        <w:t xml:space="preserve"> </w:t>
      </w:r>
      <w:r>
        <w:t xml:space="preserve">may </w:t>
      </w:r>
      <w:proofErr w:type="gramStart"/>
      <w:r>
        <w:t xml:space="preserve">be </w:t>
      </w:r>
      <w:r w:rsidR="00BB642A">
        <w:t>considered to be</w:t>
      </w:r>
      <w:proofErr w:type="gramEnd"/>
      <w:r w:rsidR="00BB642A">
        <w:t xml:space="preserve"> the legal analog or </w:t>
      </w:r>
      <w:r w:rsidR="004340AE">
        <w:t xml:space="preserve">normative </w:t>
      </w:r>
      <w:r w:rsidR="00BB642A">
        <w:t xml:space="preserve">support for the economic institution of </w:t>
      </w:r>
      <w:r w:rsidR="00BB642A" w:rsidRPr="00FF31BA">
        <w:t>exchange</w:t>
      </w:r>
      <w:r w:rsidR="003A2122">
        <w:t xml:space="preserve"> (Kinsella April 19, 2025)</w:t>
      </w:r>
      <w:r w:rsidR="00BB642A">
        <w:t xml:space="preserve">. </w:t>
      </w:r>
      <w:r w:rsidR="00962D33">
        <w:t>I</w:t>
      </w:r>
      <w:r w:rsidR="00FE2211">
        <w:t xml:space="preserve">n a society with </w:t>
      </w:r>
      <w:r w:rsidR="00AD0C5D">
        <w:t>institutions of property rights (ownership) and contract law that support</w:t>
      </w:r>
      <w:r w:rsidR="00FE2211">
        <w:t xml:space="preserve"> </w:t>
      </w:r>
      <w:r w:rsidR="00962D33">
        <w:t>possession and exchange</w:t>
      </w:r>
      <w:r w:rsidR="00FE2211">
        <w:t xml:space="preserve">, the economist may assume </w:t>
      </w:r>
      <w:r w:rsidR="00D41B39">
        <w:t xml:space="preserve">their </w:t>
      </w:r>
      <w:r w:rsidR="00FE2211">
        <w:t xml:space="preserve">existence and take them into account </w:t>
      </w:r>
      <w:r w:rsidR="0095690A">
        <w:t xml:space="preserve">for a </w:t>
      </w:r>
      <w:r w:rsidR="00D61A7F">
        <w:t>more useful</w:t>
      </w:r>
      <w:r w:rsidR="0095690A">
        <w:t xml:space="preserve"> </w:t>
      </w:r>
      <w:r w:rsidR="00FE2211">
        <w:t>analysis.</w:t>
      </w:r>
    </w:p>
    <w:p w14:paraId="7222083B" w14:textId="121D7923" w:rsidR="000622F6" w:rsidRDefault="001240D8" w:rsidP="00996300">
      <w:pPr>
        <w:spacing w:after="120"/>
        <w:ind w:firstLine="720"/>
      </w:pPr>
      <w:r>
        <w:t>The theory of the firm, for example, presupposes contracts, legal entities such as corporations and partnerships, state classifications like “employee” and “independent contractor</w:t>
      </w:r>
      <w:r w:rsidR="00673F90">
        <w:t>,</w:t>
      </w:r>
      <w:r>
        <w:t xml:space="preserve">” and so on. </w:t>
      </w:r>
      <w:r w:rsidR="00D76CFE">
        <w:t>When a</w:t>
      </w:r>
      <w:r>
        <w:t xml:space="preserve">nalyzing </w:t>
      </w:r>
      <w:r w:rsidR="006F60D0">
        <w:t xml:space="preserve">the phenomenon of lending or </w:t>
      </w:r>
      <w:r w:rsidR="00673F90">
        <w:t>credit</w:t>
      </w:r>
      <w:r w:rsidR="00AF6529">
        <w:t>,</w:t>
      </w:r>
      <w:r w:rsidR="006F60D0">
        <w:t xml:space="preserve"> </w:t>
      </w:r>
      <w:r>
        <w:t>the economist</w:t>
      </w:r>
      <w:r w:rsidR="00AF6529">
        <w:t xml:space="preserve"> assum</w:t>
      </w:r>
      <w:r>
        <w:t>es</w:t>
      </w:r>
      <w:r w:rsidR="00AF6529">
        <w:t xml:space="preserve"> certain normative legal institutions and laws that undergird </w:t>
      </w:r>
      <w:r w:rsidR="0064449F">
        <w:t>these practices</w:t>
      </w:r>
      <w:r w:rsidR="00AF6529">
        <w:t xml:space="preserve">. The </w:t>
      </w:r>
      <w:r w:rsidR="002409B2">
        <w:t xml:space="preserve">economist assumes </w:t>
      </w:r>
      <w:r w:rsidR="00AF6529">
        <w:t>that there are</w:t>
      </w:r>
      <w:r w:rsidR="004E48B4">
        <w:t xml:space="preserve"> </w:t>
      </w:r>
      <w:r w:rsidR="00AF6529">
        <w:t>property rights, contract rights, a legal system that backs all this up, and presumably a state</w:t>
      </w:r>
      <w:r w:rsidR="00B16C63">
        <w:t xml:space="preserve"> or some form of legal system</w:t>
      </w:r>
      <w:r w:rsidR="00AF6529">
        <w:t xml:space="preserve"> that </w:t>
      </w:r>
      <w:r w:rsidR="005D0541">
        <w:t xml:space="preserve">provides this </w:t>
      </w:r>
      <w:r w:rsidR="00AF6529">
        <w:t>legal</w:t>
      </w:r>
      <w:r w:rsidR="005D0541">
        <w:t xml:space="preserve"> </w:t>
      </w:r>
      <w:r w:rsidR="00AF6529">
        <w:t>infrastruc</w:t>
      </w:r>
      <w:r w:rsidR="005D0541">
        <w:t>ture</w:t>
      </w:r>
      <w:r w:rsidR="00AF6529">
        <w:t xml:space="preserve">. It is not often stated this </w:t>
      </w:r>
      <w:r w:rsidR="00473B1E">
        <w:t>clearly or explicitly</w:t>
      </w:r>
      <w:r w:rsidR="00AF6529">
        <w:t xml:space="preserve">, but </w:t>
      </w:r>
      <w:r w:rsidR="00250F46">
        <w:t>these and other</w:t>
      </w:r>
      <w:r w:rsidR="00AF6529">
        <w:t xml:space="preserve"> presumptions are at least implicit in a good deal of economic analysis</w:t>
      </w:r>
      <w:r w:rsidR="00AD0C5D">
        <w:t>.</w:t>
      </w:r>
    </w:p>
    <w:p w14:paraId="1A0B4425" w14:textId="07B49BC4" w:rsidR="002D4CAE" w:rsidRDefault="0095690A" w:rsidP="00996300">
      <w:pPr>
        <w:spacing w:after="120"/>
        <w:ind w:firstLine="720"/>
      </w:pPr>
      <w:r>
        <w:t>F</w:t>
      </w:r>
      <w:r w:rsidR="002D4CAE">
        <w:t xml:space="preserve">or sound economic analysis of our modern world, it is essential to </w:t>
      </w:r>
      <w:r w:rsidR="002C099A">
        <w:t>have</w:t>
      </w:r>
      <w:r w:rsidR="002D4CAE">
        <w:t xml:space="preserve"> a clear understanding of property rights and contract</w:t>
      </w:r>
      <w:r w:rsidR="000622F6">
        <w:t xml:space="preserve"> law</w:t>
      </w:r>
      <w:r w:rsidR="002D4CAE">
        <w:t>.</w:t>
      </w:r>
    </w:p>
    <w:bookmarkEnd w:id="4"/>
    <w:bookmarkEnd w:id="5"/>
    <w:bookmarkEnd w:id="9"/>
    <w:bookmarkEnd w:id="10"/>
    <w:bookmarkEnd w:id="11"/>
    <w:bookmarkEnd w:id="12"/>
    <w:p w14:paraId="57F623FC" w14:textId="0B8A1E95" w:rsidR="005B10CE" w:rsidRPr="00FB5632" w:rsidRDefault="00FA1D6B" w:rsidP="003530F9">
      <w:pPr>
        <w:keepNext/>
        <w:spacing w:before="360" w:after="120"/>
        <w:jc w:val="center"/>
        <w:rPr>
          <w:b/>
          <w:bCs/>
        </w:rPr>
      </w:pPr>
      <w:r>
        <w:rPr>
          <w:b/>
          <w:bCs/>
        </w:rPr>
        <w:t xml:space="preserve">II. </w:t>
      </w:r>
      <w:r w:rsidR="00D008CA">
        <w:rPr>
          <w:b/>
          <w:bCs/>
        </w:rPr>
        <w:t xml:space="preserve">The Conventional Approach to </w:t>
      </w:r>
      <w:r w:rsidR="00FB5632" w:rsidRPr="00FB5632">
        <w:rPr>
          <w:b/>
          <w:bCs/>
        </w:rPr>
        <w:t>Contract</w:t>
      </w:r>
      <w:r w:rsidR="00FD6FDC">
        <w:rPr>
          <w:b/>
          <w:bCs/>
        </w:rPr>
        <w:t xml:space="preserve"> Law</w:t>
      </w:r>
    </w:p>
    <w:p w14:paraId="5E537329" w14:textId="73C9DC06" w:rsidR="002C6B4A" w:rsidRPr="002C6B4A" w:rsidRDefault="00FA1D6B" w:rsidP="00996300">
      <w:pPr>
        <w:spacing w:after="120"/>
        <w:rPr>
          <w:i/>
          <w:iCs/>
        </w:rPr>
      </w:pPr>
      <w:r>
        <w:rPr>
          <w:i/>
          <w:iCs/>
        </w:rPr>
        <w:t xml:space="preserve">A. </w:t>
      </w:r>
      <w:r w:rsidR="002C6B4A">
        <w:rPr>
          <w:i/>
          <w:iCs/>
        </w:rPr>
        <w:t>Promises and Binding Legal Obligations</w:t>
      </w:r>
    </w:p>
    <w:p w14:paraId="346C2149" w14:textId="77777777" w:rsidR="007655F4" w:rsidRDefault="006B6961" w:rsidP="00996300">
      <w:pPr>
        <w:spacing w:after="120"/>
        <w:ind w:firstLine="720"/>
      </w:pPr>
      <w:r>
        <w:t xml:space="preserve">The </w:t>
      </w:r>
      <w:r w:rsidR="00200E87">
        <w:t xml:space="preserve">positive </w:t>
      </w:r>
      <w:r>
        <w:t xml:space="preserve">law recognizes various </w:t>
      </w:r>
      <w:r w:rsidR="00E16697">
        <w:t xml:space="preserve">legal </w:t>
      </w:r>
      <w:r>
        <w:t>obligations</w:t>
      </w:r>
      <w:r w:rsidR="002B4B50">
        <w:t xml:space="preserve"> or duties</w:t>
      </w:r>
      <w:r>
        <w:t>, such as obligation</w:t>
      </w:r>
      <w:r w:rsidR="00C87C68">
        <w:t>s</w:t>
      </w:r>
      <w:r>
        <w:t xml:space="preserve"> </w:t>
      </w:r>
      <w:r w:rsidR="001D1C5A">
        <w:t xml:space="preserve">to </w:t>
      </w:r>
      <w:r>
        <w:t xml:space="preserve">respect others’ property rights, to pay taxes, to avoid </w:t>
      </w:r>
      <w:r w:rsidR="00407771">
        <w:t>committing torts</w:t>
      </w:r>
      <w:r w:rsidR="00731056">
        <w:t xml:space="preserve"> or acting negligently</w:t>
      </w:r>
      <w:r>
        <w:t xml:space="preserve">, and so on. Failing to meet an obligation usually has some kind of </w:t>
      </w:r>
      <w:r w:rsidR="00034E77">
        <w:t xml:space="preserve">(legal) </w:t>
      </w:r>
      <w:r>
        <w:t>consequence</w:t>
      </w:r>
      <w:r w:rsidR="0095690A">
        <w:t xml:space="preserve">, </w:t>
      </w:r>
      <w:r>
        <w:t>punishment</w:t>
      </w:r>
      <w:r w:rsidR="0095690A">
        <w:t>,</w:t>
      </w:r>
      <w:r>
        <w:t xml:space="preserve"> or remedy.</w:t>
      </w:r>
    </w:p>
    <w:p w14:paraId="226791CF" w14:textId="711FB76A" w:rsidR="00D37EEB" w:rsidRPr="003B5641" w:rsidRDefault="006B6961" w:rsidP="00996300">
      <w:pPr>
        <w:spacing w:after="120"/>
        <w:ind w:firstLine="720"/>
        <w:rPr>
          <w:sz w:val="22"/>
          <w:szCs w:val="22"/>
        </w:rPr>
      </w:pPr>
      <w:r>
        <w:t xml:space="preserve"> The positive law considers contractual agreement </w:t>
      </w:r>
      <w:r w:rsidR="00B977A8">
        <w:t>to be</w:t>
      </w:r>
      <w:r>
        <w:t xml:space="preserve"> </w:t>
      </w:r>
      <w:r w:rsidR="0068021D">
        <w:t xml:space="preserve">one </w:t>
      </w:r>
      <w:r>
        <w:t xml:space="preserve">source of </w:t>
      </w:r>
      <w:r w:rsidR="00F26D69">
        <w:t xml:space="preserve">legal </w:t>
      </w:r>
      <w:r>
        <w:t xml:space="preserve">obligation. </w:t>
      </w:r>
      <w:r w:rsidR="0095690A">
        <w:t>N</w:t>
      </w:r>
      <w:r w:rsidR="00D34373">
        <w:t>owadays “contracts” are widely</w:t>
      </w:r>
      <w:r w:rsidR="00B01D54">
        <w:t xml:space="preserve"> </w:t>
      </w:r>
      <w:r w:rsidR="00D34373">
        <w:t>viewed by the law and in the mainstream</w:t>
      </w:r>
      <w:r w:rsidR="007655F4">
        <w:t xml:space="preserve"> </w:t>
      </w:r>
      <w:r w:rsidR="00D34373">
        <w:t xml:space="preserve">as </w:t>
      </w:r>
      <w:r w:rsidR="003A2DA5" w:rsidRPr="00017AC1">
        <w:rPr>
          <w:i/>
          <w:iCs/>
        </w:rPr>
        <w:t>binding legal obligations</w:t>
      </w:r>
      <w:r w:rsidR="003A2DA5">
        <w:t xml:space="preserve"> that result from certain </w:t>
      </w:r>
      <w:r w:rsidR="003A2DA5">
        <w:rPr>
          <w:i/>
          <w:iCs/>
        </w:rPr>
        <w:t>promises</w:t>
      </w:r>
      <w:r w:rsidR="00817D3F">
        <w:t xml:space="preserve"> embodied in an agreement or contract</w:t>
      </w:r>
      <w:r w:rsidR="00996300">
        <w:t xml:space="preserve"> (</w:t>
      </w:r>
      <w:r w:rsidR="00B83A68">
        <w:t>Atiyah 1979, p. 139)</w:t>
      </w:r>
      <w:r w:rsidR="003C6D64">
        <w:t>.</w:t>
      </w:r>
      <w:r w:rsidR="00B83A68">
        <w:t xml:space="preserve"> </w:t>
      </w:r>
      <w:r w:rsidR="00A27349">
        <w:t xml:space="preserve">As opposed to </w:t>
      </w:r>
      <w:r w:rsidR="00A27349">
        <w:rPr>
          <w:i/>
          <w:iCs/>
        </w:rPr>
        <w:t>real</w:t>
      </w:r>
      <w:r w:rsidR="00A27349">
        <w:t xml:space="preserve"> rights—</w:t>
      </w:r>
      <w:r w:rsidR="00A27349">
        <w:rPr>
          <w:i/>
          <w:iCs/>
        </w:rPr>
        <w:t xml:space="preserve">in </w:t>
      </w:r>
      <w:r w:rsidR="00A27349" w:rsidRPr="00E82190">
        <w:rPr>
          <w:i/>
          <w:iCs/>
        </w:rPr>
        <w:t>rem</w:t>
      </w:r>
      <w:r w:rsidR="00A27349">
        <w:t xml:space="preserve"> or </w:t>
      </w:r>
      <w:r w:rsidR="00A27349" w:rsidRPr="00E82190">
        <w:t>property</w:t>
      </w:r>
      <w:r w:rsidR="00A27349">
        <w:t xml:space="preserve"> rights—which are “good against the </w:t>
      </w:r>
      <w:proofErr w:type="gramStart"/>
      <w:r w:rsidR="00A27349">
        <w:t xml:space="preserve">world” </w:t>
      </w:r>
      <w:r w:rsidR="003A5966">
        <w:t xml:space="preserve"> (</w:t>
      </w:r>
      <w:proofErr w:type="spellStart"/>
      <w:proofErr w:type="gramEnd"/>
      <w:r w:rsidR="003A5966">
        <w:t>Yiannopoulous</w:t>
      </w:r>
      <w:proofErr w:type="spellEnd"/>
      <w:r w:rsidR="003A5966">
        <w:t xml:space="preserve"> 2001, </w:t>
      </w:r>
      <w:r w:rsidR="003A5966" w:rsidRPr="003A5966">
        <w:t>§§212</w:t>
      </w:r>
      <w:r w:rsidR="003A5966">
        <w:t>–</w:t>
      </w:r>
      <w:r w:rsidR="003A5966" w:rsidRPr="003A5966">
        <w:t>213</w:t>
      </w:r>
      <w:r w:rsidR="003A5966">
        <w:t xml:space="preserve">) </w:t>
      </w:r>
      <w:r w:rsidR="00A27349">
        <w:t xml:space="preserve">and impose (negative) obligations on others to respect those property rights, obligations that flow from contracts are </w:t>
      </w:r>
      <w:r w:rsidR="00A27349">
        <w:rPr>
          <w:i/>
          <w:iCs/>
        </w:rPr>
        <w:t xml:space="preserve">in personam </w:t>
      </w:r>
      <w:r w:rsidR="00A27349" w:rsidRPr="00E82190">
        <w:t>rights</w:t>
      </w:r>
      <w:r w:rsidR="00A27349">
        <w:t xml:space="preserve"> that affect only the parties to the contract</w:t>
      </w:r>
      <w:r w:rsidR="0055365F">
        <w:t>—specifically, those in “privity of contract” with each other</w:t>
      </w:r>
      <w:r w:rsidR="00A27349">
        <w:t>.</w:t>
      </w:r>
      <w:r w:rsidR="00D34373">
        <w:t xml:space="preserve"> </w:t>
      </w:r>
      <w:r w:rsidR="00E36B6D">
        <w:t xml:space="preserve">If I own a home, a car, or my body, my </w:t>
      </w:r>
      <w:proofErr w:type="gramStart"/>
      <w:r w:rsidR="00E36B6D">
        <w:rPr>
          <w:i/>
          <w:iCs/>
        </w:rPr>
        <w:t>in rem</w:t>
      </w:r>
      <w:proofErr w:type="gramEnd"/>
      <w:r w:rsidR="00E36B6D">
        <w:rPr>
          <w:i/>
          <w:iCs/>
        </w:rPr>
        <w:t xml:space="preserve"> </w:t>
      </w:r>
      <w:r w:rsidR="00E36B6D">
        <w:t>property rights in these things impose a negative obligation on others not to trespass. This negative obligation is not the result of contract or agreement. Obligations that flow from binding agreements, or contracts, only bind the parties to the contract.</w:t>
      </w:r>
      <w:bookmarkStart w:id="28" w:name="_Ref186235773"/>
      <w:r w:rsidR="007C7B57">
        <w:rPr>
          <w:rStyle w:val="FootnoteReference"/>
        </w:rPr>
        <w:footnoteReference w:id="5"/>
      </w:r>
      <w:bookmarkEnd w:id="28"/>
      <w:r w:rsidR="00C33CEA">
        <w:t xml:space="preserve"> The relationship between parties to a contract is</w:t>
      </w:r>
      <w:r w:rsidR="00C53D6D">
        <w:t xml:space="preserve"> like a private law that applies only to them, </w:t>
      </w:r>
      <w:r w:rsidR="003242C0">
        <w:t>not to the world at large.</w:t>
      </w:r>
    </w:p>
    <w:p w14:paraId="72A9EDD0" w14:textId="78EF4AA4" w:rsidR="00C84C8E" w:rsidRDefault="00A97D56" w:rsidP="00996300">
      <w:pPr>
        <w:spacing w:after="120"/>
        <w:ind w:firstLine="720"/>
      </w:pPr>
      <w:r>
        <w:lastRenderedPageBreak/>
        <w:t>As Randy Barnett</w:t>
      </w:r>
      <w:r w:rsidR="0055365F">
        <w:t xml:space="preserve"> </w:t>
      </w:r>
      <w:r w:rsidR="00A27349">
        <w:t>observes</w:t>
      </w:r>
      <w:r w:rsidR="008D127E">
        <w:t>: “The five best known theories or principles of contractual obligation</w:t>
      </w:r>
      <w:r w:rsidR="0026568C">
        <w:t>—</w:t>
      </w:r>
      <w:r w:rsidR="008D127E">
        <w:t>the will theory, the reliance theory, the fairness theory, the efficiency theory and the bargain theory</w:t>
      </w:r>
      <w:r w:rsidR="0026568C">
        <w:t>—</w:t>
      </w:r>
      <w:r w:rsidR="008D127E">
        <w:t>each have very basic shortcomings.</w:t>
      </w:r>
      <w:r w:rsidR="0026568C">
        <w:t xml:space="preserve">” </w:t>
      </w:r>
      <w:r w:rsidR="0095690A">
        <w:t>(</w:t>
      </w:r>
      <w:r w:rsidR="00F42A3C">
        <w:t>Barnett 1986</w:t>
      </w:r>
      <w:r w:rsidR="00B53FA4">
        <w:t>a</w:t>
      </w:r>
      <w:r w:rsidR="00F42A3C">
        <w:t>, p. 269; s</w:t>
      </w:r>
      <w:r w:rsidR="00062F7B">
        <w:t xml:space="preserve">ee also Barnett 1992, p. 1024 </w:t>
      </w:r>
      <w:r w:rsidR="00062F7B" w:rsidRPr="00062F7B">
        <w:rPr>
          <w:i/>
          <w:iCs/>
        </w:rPr>
        <w:t xml:space="preserve">et </w:t>
      </w:r>
      <w:r w:rsidR="00E4536B">
        <w:rPr>
          <w:i/>
          <w:iCs/>
        </w:rPr>
        <w:t>seq</w:t>
      </w:r>
      <w:r w:rsidR="00062F7B">
        <w:t>.)</w:t>
      </w:r>
      <w:r w:rsidR="00772D22">
        <w:t xml:space="preserve"> </w:t>
      </w:r>
      <w:r w:rsidR="00090DB6">
        <w:t xml:space="preserve">The primary shortcoming of many theories of contract is that it is not quite clear </w:t>
      </w:r>
      <w:r w:rsidR="00090DB6">
        <w:rPr>
          <w:i/>
          <w:iCs/>
        </w:rPr>
        <w:t>why</w:t>
      </w:r>
      <w:r w:rsidR="00090DB6">
        <w:t xml:space="preserve"> promises </w:t>
      </w:r>
      <w:r w:rsidR="00F87D3A">
        <w:t xml:space="preserve">should </w:t>
      </w:r>
      <w:r w:rsidR="00090DB6">
        <w:t xml:space="preserve">be binding, that is, give rise to legally enforceable obligations. </w:t>
      </w:r>
      <w:r w:rsidR="00C84C8E">
        <w:t xml:space="preserve">As </w:t>
      </w:r>
      <w:r w:rsidR="00B15696">
        <w:t>Corbin</w:t>
      </w:r>
      <w:r w:rsidR="00F33FA2">
        <w:t xml:space="preserve"> (</w:t>
      </w:r>
      <w:r w:rsidR="00C84C8E">
        <w:t>1963, p. 490</w:t>
      </w:r>
      <w:r w:rsidR="00B15696">
        <w:t>, quoted in Barnett 1986</w:t>
      </w:r>
      <w:r w:rsidR="00B53FA4">
        <w:t>a</w:t>
      </w:r>
      <w:r w:rsidR="00B15696">
        <w:t>, p. 269</w:t>
      </w:r>
      <w:r w:rsidR="00F33FA2">
        <w:t>)</w:t>
      </w:r>
      <w:r w:rsidR="00C84C8E">
        <w:t xml:space="preserve"> notes:</w:t>
      </w:r>
      <w:r w:rsidR="00AA5988">
        <w:t xml:space="preserve"> </w:t>
      </w:r>
    </w:p>
    <w:p w14:paraId="4F4C87AD" w14:textId="3761C797" w:rsidR="00A679D7" w:rsidRPr="00A679D7" w:rsidRDefault="00AA5988" w:rsidP="00996300">
      <w:pPr>
        <w:spacing w:after="120"/>
        <w:ind w:left="900" w:right="810"/>
        <w:rPr>
          <w:sz w:val="22"/>
          <w:szCs w:val="22"/>
        </w:rPr>
      </w:pPr>
      <w:r w:rsidRPr="00A679D7">
        <w:rPr>
          <w:sz w:val="22"/>
          <w:szCs w:val="22"/>
        </w:rPr>
        <w:t xml:space="preserve">The mere fact that one man promises something to another creates no legal duty and makes no legal remedy available in case of non-performance. To be enforceable, the promise must be accompanied by some other factor. … The question now to be discussed is what </w:t>
      </w:r>
      <w:proofErr w:type="gramStart"/>
      <w:r w:rsidRPr="00A679D7">
        <w:rPr>
          <w:sz w:val="22"/>
          <w:szCs w:val="22"/>
        </w:rPr>
        <w:t>is this other factor</w:t>
      </w:r>
      <w:proofErr w:type="gramEnd"/>
      <w:r w:rsidRPr="00A679D7">
        <w:rPr>
          <w:sz w:val="22"/>
          <w:szCs w:val="22"/>
        </w:rPr>
        <w:t xml:space="preserve">. What fact or facts must accompany a promise to make it enforceable at law? </w:t>
      </w:r>
    </w:p>
    <w:p w14:paraId="3DD2BA3C" w14:textId="5E8B1263" w:rsidR="00AA5988" w:rsidRDefault="0095690A" w:rsidP="00996300">
      <w:pPr>
        <w:spacing w:after="120"/>
      </w:pPr>
      <w:r>
        <w:t>This sentiment is echoed by</w:t>
      </w:r>
      <w:r w:rsidR="00AA5988">
        <w:t xml:space="preserve"> </w:t>
      </w:r>
      <w:r w:rsidR="00C84C8E">
        <w:t>Eisenberg (1982, p. 640</w:t>
      </w:r>
      <w:r>
        <w:t>)</w:t>
      </w:r>
      <w:r w:rsidR="00EC3693">
        <w:t>, who writes:</w:t>
      </w:r>
      <w:r w:rsidR="00C84C8E">
        <w:t xml:space="preserve"> </w:t>
      </w:r>
      <w:r w:rsidR="00AA5988">
        <w:t>“A promise, as such, is not legally enforceable. The first great question of contract law, therefore, is what kinds of promises should be enforced.”</w:t>
      </w:r>
      <w:r w:rsidR="0007248E">
        <w:t xml:space="preserve"> After all, “No legal system enforces all promises” Barnett (2010, §4.2)</w:t>
      </w:r>
      <w:r w:rsidR="00996300">
        <w:t>.</w:t>
      </w:r>
    </w:p>
    <w:p w14:paraId="4293B4A4" w14:textId="6C84179B" w:rsidR="007F2973" w:rsidRDefault="00EC3693" w:rsidP="00996300">
      <w:pPr>
        <w:spacing w:after="120"/>
        <w:ind w:firstLine="720"/>
      </w:pPr>
      <w:r>
        <w:t>Various theories of contract give different answers</w:t>
      </w:r>
      <w:r w:rsidR="00DF3F28">
        <w:t xml:space="preserve"> </w:t>
      </w:r>
      <w:r w:rsidR="00BA1E87">
        <w:t>(Barnett 1992</w:t>
      </w:r>
      <w:r w:rsidR="00374624">
        <w:t xml:space="preserve">, 2010 §§4.2 </w:t>
      </w:r>
      <w:r w:rsidR="003C34EB">
        <w:t>and</w:t>
      </w:r>
      <w:r w:rsidR="00374624">
        <w:t xml:space="preserve"> 4.4</w:t>
      </w:r>
      <w:r w:rsidR="008D74ED">
        <w:t>)</w:t>
      </w:r>
      <w:r w:rsidR="00DF3F28">
        <w:t>.</w:t>
      </w:r>
      <w:r>
        <w:t xml:space="preserve"> </w:t>
      </w:r>
      <w:r w:rsidR="00DF62C9">
        <w:t>T</w:t>
      </w:r>
      <w:r w:rsidR="00AA2702">
        <w:t>he reliance theory</w:t>
      </w:r>
      <w:r w:rsidR="00DF62C9">
        <w:t>, for example,</w:t>
      </w:r>
      <w:r w:rsidR="00AA2702">
        <w:t xml:space="preserve"> posits that the promisee will </w:t>
      </w:r>
      <w:r w:rsidR="00AA2702">
        <w:rPr>
          <w:i/>
          <w:iCs/>
        </w:rPr>
        <w:t>rely</w:t>
      </w:r>
      <w:r w:rsidR="00AA2702">
        <w:t xml:space="preserve"> </w:t>
      </w:r>
      <w:r>
        <w:t>“</w:t>
      </w:r>
      <w:r w:rsidR="008F753D">
        <w:t>t</w:t>
      </w:r>
      <w:r w:rsidR="00AA2702">
        <w:t>o his detriment</w:t>
      </w:r>
      <w:r>
        <w:t>”</w:t>
      </w:r>
      <w:r w:rsidR="00AA2702">
        <w:t xml:space="preserve"> on the promisor fulfilling his promise</w:t>
      </w:r>
      <w:r w:rsidR="003C6D64">
        <w:t xml:space="preserve">. </w:t>
      </w:r>
      <w:r w:rsidR="00996300">
        <w:t>Therefore,</w:t>
      </w:r>
      <w:r w:rsidR="00AA2702">
        <w:t xml:space="preserve"> </w:t>
      </w:r>
      <w:r w:rsidR="003C6D64">
        <w:t>the law obliges the promisor</w:t>
      </w:r>
      <w:r w:rsidR="00FE0F01">
        <w:t xml:space="preserve"> to</w:t>
      </w:r>
      <w:r w:rsidR="00AA2702">
        <w:t xml:space="preserve"> perform</w:t>
      </w:r>
      <w:r w:rsidR="00E6098C">
        <w:t>,</w:t>
      </w:r>
      <w:r w:rsidR="00AA2702">
        <w:t xml:space="preserve"> to avoid upsetting the reliance interests </w:t>
      </w:r>
      <w:r w:rsidR="00045936">
        <w:t xml:space="preserve">or expectations </w:t>
      </w:r>
      <w:r w:rsidR="00AA2702">
        <w:t>of the promisee</w:t>
      </w:r>
      <w:r w:rsidR="00374624">
        <w:t xml:space="preserve"> (Barnett </w:t>
      </w:r>
      <w:bookmarkStart w:id="30" w:name="OLE_LINK778"/>
      <w:bookmarkStart w:id="31" w:name="OLE_LINK779"/>
      <w:r w:rsidR="00374624">
        <w:t>2010 §4.4</w:t>
      </w:r>
      <w:bookmarkEnd w:id="30"/>
      <w:bookmarkEnd w:id="31"/>
      <w:r w:rsidR="00374624">
        <w:t>)</w:t>
      </w:r>
      <w:r w:rsidR="00AA2702">
        <w:t>.</w:t>
      </w:r>
      <w:r w:rsidR="00CD1D19">
        <w:t xml:space="preserve"> This view is sometimes referred to as “detrimental reliance”</w:t>
      </w:r>
      <w:r w:rsidR="00E77EAB">
        <w:t xml:space="preserve"> (</w:t>
      </w:r>
      <w:r w:rsidR="007649AE">
        <w:t>s</w:t>
      </w:r>
      <w:r w:rsidR="00E77EAB">
        <w:t xml:space="preserve">ee also Kinsella </w:t>
      </w:r>
      <w:r w:rsidR="00E77EAB" w:rsidRPr="003804CA">
        <w:t>2023</w:t>
      </w:r>
      <w:r w:rsidR="007649AE">
        <w:t>c</w:t>
      </w:r>
      <w:r w:rsidR="00E77EAB" w:rsidRPr="003804CA">
        <w:t>, Part</w:t>
      </w:r>
      <w:r w:rsidR="00E77EAB">
        <w:t xml:space="preserve"> III.A, </w:t>
      </w:r>
      <w:r w:rsidR="001E218F">
        <w:t xml:space="preserve">and </w:t>
      </w:r>
      <w:r w:rsidR="007649AE">
        <w:t xml:space="preserve">Kinsella, </w:t>
      </w:r>
      <w:r w:rsidR="001E218F">
        <w:t>2023</w:t>
      </w:r>
      <w:r w:rsidR="007649AE">
        <w:t>a</w:t>
      </w:r>
      <w:r w:rsidR="000006E5">
        <w:t>,</w:t>
      </w:r>
      <w:r w:rsidR="001E218F">
        <w:t xml:space="preserve"> Part I.E, </w:t>
      </w:r>
      <w:r w:rsidR="00E77EAB">
        <w:t>discussing promissory estoppel and detrimental reliance.)</w:t>
      </w:r>
      <w:r w:rsidR="00AA2702">
        <w:t xml:space="preserve"> But as many have pointed </w:t>
      </w:r>
      <w:r w:rsidR="0095690A">
        <w:t>out, the</w:t>
      </w:r>
      <w:r w:rsidR="004F2E8E">
        <w:t xml:space="preserve"> argument that </w:t>
      </w:r>
      <w:r w:rsidR="0095690A">
        <w:t xml:space="preserve">a promise </w:t>
      </w:r>
      <w:r w:rsidR="004F2E8E">
        <w:t xml:space="preserve">should be enforceable because </w:t>
      </w:r>
      <w:r w:rsidR="009810F1">
        <w:t xml:space="preserve">others have </w:t>
      </w:r>
      <w:r w:rsidR="004F2E8E">
        <w:t xml:space="preserve">relied on it is circular. </w:t>
      </w:r>
      <w:r w:rsidR="006C4C4B">
        <w:t xml:space="preserve">This is because </w:t>
      </w:r>
      <w:r w:rsidR="004F2E8E">
        <w:t xml:space="preserve">all these theories </w:t>
      </w:r>
      <w:r w:rsidR="00E002FF">
        <w:t xml:space="preserve">and justifications </w:t>
      </w:r>
      <w:r w:rsidR="004F2E8E">
        <w:t xml:space="preserve">insist that the reliance be </w:t>
      </w:r>
      <w:r w:rsidR="004F2E8E">
        <w:rPr>
          <w:i/>
          <w:iCs/>
        </w:rPr>
        <w:t>reasonable</w:t>
      </w:r>
      <w:r w:rsidR="00070E4A">
        <w:t xml:space="preserve"> </w:t>
      </w:r>
      <w:proofErr w:type="gramStart"/>
      <w:r w:rsidR="00A92C9E">
        <w:t xml:space="preserve">in order </w:t>
      </w:r>
      <w:r w:rsidR="00070E4A">
        <w:t>to</w:t>
      </w:r>
      <w:proofErr w:type="gramEnd"/>
      <w:r w:rsidR="00070E4A">
        <w:t xml:space="preserve"> give rise to an obligation</w:t>
      </w:r>
      <w:r w:rsidR="00E002FF">
        <w:t xml:space="preserve"> (see, e.g., La. Civ. Code</w:t>
      </w:r>
      <w:r w:rsidR="007649AE">
        <w:t xml:space="preserve"> (2024)</w:t>
      </w:r>
      <w:r w:rsidR="00E002FF">
        <w:t>, art. 1967</w:t>
      </w:r>
      <w:r w:rsidR="00786236">
        <w:t xml:space="preserve">; </w:t>
      </w:r>
      <w:r w:rsidR="00786236" w:rsidRPr="00996300">
        <w:rPr>
          <w:i/>
        </w:rPr>
        <w:t xml:space="preserve">Gilmartin v. KVTV-Channel 13 </w:t>
      </w:r>
      <w:r w:rsidR="00786236" w:rsidRPr="00996300">
        <w:t>1998</w:t>
      </w:r>
      <w:r w:rsidR="00E002FF">
        <w:t>)</w:t>
      </w:r>
      <w:r w:rsidR="00014FBE">
        <w:t>. Howe</w:t>
      </w:r>
      <w:r w:rsidR="00AE4EB8">
        <w:t>v</w:t>
      </w:r>
      <w:r w:rsidR="00014FBE">
        <w:t>er,</w:t>
      </w:r>
      <w:r w:rsidR="004F2E8E">
        <w:t xml:space="preserve"> </w:t>
      </w:r>
      <w:r w:rsidR="00BB56BA">
        <w:t xml:space="preserve">if </w:t>
      </w:r>
      <w:r w:rsidR="004F2E8E">
        <w:t xml:space="preserve">the legal system did </w:t>
      </w:r>
      <w:r w:rsidR="004F2E8E">
        <w:rPr>
          <w:i/>
          <w:iCs/>
        </w:rPr>
        <w:t>not</w:t>
      </w:r>
      <w:r w:rsidR="004F2E8E">
        <w:t xml:space="preserve"> enforce promises then it would be unreasonable to rely on promises</w:t>
      </w:r>
      <w:r w:rsidR="00E002FF">
        <w:t xml:space="preserve">. </w:t>
      </w:r>
      <w:r w:rsidR="00E933AB">
        <w:t>“</w:t>
      </w:r>
      <w:r w:rsidR="00E933AB" w:rsidRPr="00D13FD8">
        <w:t xml:space="preserve">This circularity has been described as a </w:t>
      </w:r>
      <w:r w:rsidR="00E933AB">
        <w:t>‘</w:t>
      </w:r>
      <w:r w:rsidR="00E933AB" w:rsidRPr="00D13FD8">
        <w:t>secret paradox of the common</w:t>
      </w:r>
      <w:r w:rsidR="00E933AB">
        <w:t xml:space="preserve"> </w:t>
      </w:r>
      <w:r w:rsidR="00E933AB" w:rsidRPr="00D13FD8">
        <w:t>law</w:t>
      </w:r>
      <w:r w:rsidR="00B22265">
        <w:t>.</w:t>
      </w:r>
      <w:r w:rsidR="00E933AB">
        <w:t>’”</w:t>
      </w:r>
      <w:r w:rsidR="000C0264">
        <w:t xml:space="preserve"> (Buckley 1988, p. 804, quoting Atiyah 1981, p. 38. See also </w:t>
      </w:r>
      <w:r w:rsidR="000C0264" w:rsidRPr="00E9211E">
        <w:t>Barnett</w:t>
      </w:r>
      <w:r w:rsidR="000C0264">
        <w:t xml:space="preserve"> 1986</w:t>
      </w:r>
      <w:r w:rsidR="00B53FA4">
        <w:t>a</w:t>
      </w:r>
      <w:r w:rsidR="000C0264">
        <w:t xml:space="preserve">, pp. 315–316, </w:t>
      </w:r>
      <w:r w:rsidR="000C0264" w:rsidRPr="00E9211E">
        <w:t xml:space="preserve">Barnett </w:t>
      </w:r>
      <w:r w:rsidR="003C34EB">
        <w:t>and</w:t>
      </w:r>
      <w:r w:rsidR="000C0264" w:rsidRPr="00E9211E">
        <w:t xml:space="preserve"> Becker</w:t>
      </w:r>
      <w:r w:rsidR="000C0264">
        <w:t xml:space="preserve"> 1987, p. </w:t>
      </w:r>
      <w:r w:rsidR="000C0264" w:rsidRPr="00E9211E">
        <w:t>452</w:t>
      </w:r>
      <w:r w:rsidR="000C0264">
        <w:t>, and Kinsella 2023</w:t>
      </w:r>
      <w:r w:rsidR="007649AE">
        <w:t>a</w:t>
      </w:r>
      <w:r w:rsidR="000C0264">
        <w:t>, Part I.E.)</w:t>
      </w:r>
      <w:r w:rsidR="00E933AB">
        <w:t xml:space="preserve"> If promises did not give rise to contractual obligations, the promisee </w:t>
      </w:r>
      <w:r w:rsidR="00E002FF">
        <w:t xml:space="preserve">would simply have to rely on a promise at </w:t>
      </w:r>
      <w:r w:rsidR="00E933AB">
        <w:t>his</w:t>
      </w:r>
      <w:r w:rsidR="004F2E8E">
        <w:t xml:space="preserve"> own risk</w:t>
      </w:r>
      <w:r w:rsidR="00E933AB">
        <w:t>,</w:t>
      </w:r>
      <w:r w:rsidR="00E002FF">
        <w:t xml:space="preserve"> </w:t>
      </w:r>
      <w:proofErr w:type="gramStart"/>
      <w:r w:rsidR="00E002FF">
        <w:t>taking into account</w:t>
      </w:r>
      <w:proofErr w:type="gramEnd"/>
      <w:r w:rsidR="00E002FF">
        <w:t xml:space="preserve"> the reputation of the promisor</w:t>
      </w:r>
      <w:r w:rsidR="00595EBC">
        <w:t xml:space="preserve">, or </w:t>
      </w:r>
      <w:r w:rsidR="00DE4D91">
        <w:t>employ</w:t>
      </w:r>
      <w:r w:rsidR="00595EBC">
        <w:t xml:space="preserve"> performance bonds</w:t>
      </w:r>
      <w:r w:rsidR="00A0516A">
        <w:t xml:space="preserve"> (discussed below)</w:t>
      </w:r>
      <w:r w:rsidR="004F2E8E">
        <w:t xml:space="preserve">. </w:t>
      </w:r>
    </w:p>
    <w:p w14:paraId="7D3F374B" w14:textId="65C3A4F1" w:rsidR="00A66944" w:rsidRDefault="00107630" w:rsidP="00996300">
      <w:pPr>
        <w:spacing w:after="120"/>
        <w:ind w:firstLine="720"/>
      </w:pPr>
      <w:r>
        <w:t xml:space="preserve">In any case, </w:t>
      </w:r>
      <w:r w:rsidR="0026568C">
        <w:t xml:space="preserve">predominant theories of contract view contracts as </w:t>
      </w:r>
      <w:r w:rsidR="0026568C" w:rsidRPr="00BA7D78">
        <w:t>binding legal obligations that result from promises</w:t>
      </w:r>
      <w:r w:rsidR="00FB68B4">
        <w:t>, usually with certain formalities</w:t>
      </w:r>
      <w:r w:rsidR="00716C06">
        <w:t>. For example,</w:t>
      </w:r>
      <w:r w:rsidR="00FB68B4">
        <w:t xml:space="preserve"> in the common law, there </w:t>
      </w:r>
      <w:bookmarkStart w:id="32" w:name="OLE_LINK776"/>
      <w:bookmarkStart w:id="33" w:name="OLE_LINK777"/>
      <w:proofErr w:type="gramStart"/>
      <w:r w:rsidR="00FB68B4">
        <w:t>has to</w:t>
      </w:r>
      <w:proofErr w:type="gramEnd"/>
      <w:r w:rsidR="00FB68B4">
        <w:t xml:space="preserve"> be </w:t>
      </w:r>
      <w:r w:rsidR="00203190">
        <w:t>“</w:t>
      </w:r>
      <w:r w:rsidR="00FB68B4">
        <w:t>consideration</w:t>
      </w:r>
      <w:r w:rsidR="00065699">
        <w:t>”</w:t>
      </w:r>
      <w:r w:rsidR="00FB68B4">
        <w:t xml:space="preserve"> given by the promisee. </w:t>
      </w:r>
      <w:r w:rsidR="00E3416A">
        <w:t>Th</w:t>
      </w:r>
      <w:r w:rsidR="00455AB3">
        <w:t>is</w:t>
      </w:r>
      <w:r w:rsidR="00E3416A">
        <w:t xml:space="preserve"> doctrine has received considerable criticism</w:t>
      </w:r>
      <w:r w:rsidR="00DC2050">
        <w:t xml:space="preserve"> (Barnett 1986a, pp. 287–91</w:t>
      </w:r>
      <w:r w:rsidR="005F30F3">
        <w:t xml:space="preserve">, </w:t>
      </w:r>
      <w:bookmarkStart w:id="34" w:name="OLE_LINK782"/>
      <w:bookmarkStart w:id="35" w:name="OLE_LINK783"/>
      <w:bookmarkEnd w:id="32"/>
      <w:bookmarkEnd w:id="33"/>
      <w:r w:rsidR="006B153C">
        <w:t>1991, p. 149</w:t>
      </w:r>
      <w:bookmarkEnd w:id="34"/>
      <w:bookmarkEnd w:id="35"/>
      <w:r w:rsidR="00CD4C40">
        <w:t>–50</w:t>
      </w:r>
      <w:r w:rsidR="006B153C">
        <w:t xml:space="preserve">, </w:t>
      </w:r>
      <w:r w:rsidR="005F30F3">
        <w:t xml:space="preserve">2010, </w:t>
      </w:r>
      <w:r w:rsidR="005E7457">
        <w:t>§4.2</w:t>
      </w:r>
      <w:r w:rsidR="00234BB9">
        <w:t xml:space="preserve">; </w:t>
      </w:r>
      <w:bookmarkStart w:id="36" w:name="OLE_LINK494"/>
      <w:bookmarkStart w:id="37" w:name="OLE_LINK495"/>
      <w:r w:rsidR="00DC2050">
        <w:t>Mason</w:t>
      </w:r>
      <w:r w:rsidR="00234BB9">
        <w:t xml:space="preserve"> 1941,</w:t>
      </w:r>
      <w:r w:rsidR="00DC2050">
        <w:t xml:space="preserve"> </w:t>
      </w:r>
      <w:bookmarkEnd w:id="36"/>
      <w:bookmarkEnd w:id="37"/>
      <w:r w:rsidR="00DC2050">
        <w:t>pp. 832–42</w:t>
      </w:r>
      <w:r w:rsidR="0057483A">
        <w:t xml:space="preserve">; Epstein </w:t>
      </w:r>
      <w:r w:rsidR="0057483A" w:rsidRPr="008B03B6">
        <w:rPr>
          <w:sz w:val="22"/>
          <w:szCs w:val="22"/>
        </w:rPr>
        <w:t>September 17, 2019</w:t>
      </w:r>
      <w:r w:rsidR="0057483A">
        <w:rPr>
          <w:sz w:val="22"/>
          <w:szCs w:val="22"/>
        </w:rPr>
        <w:t xml:space="preserve">, at </w:t>
      </w:r>
      <w:r w:rsidR="0057483A" w:rsidRPr="0057483A">
        <w:rPr>
          <w:sz w:val="22"/>
          <w:szCs w:val="22"/>
        </w:rPr>
        <w:t>3:30–4:00</w:t>
      </w:r>
      <w:r w:rsidR="00DC2050">
        <w:t>)</w:t>
      </w:r>
      <w:r w:rsidR="00234BB9">
        <w:t>.</w:t>
      </w:r>
      <w:r w:rsidR="009A6670">
        <w:t xml:space="preserve"> </w:t>
      </w:r>
      <w:r w:rsidR="00234BB9">
        <w:t>S</w:t>
      </w:r>
      <w:r w:rsidR="009A6670">
        <w:t xml:space="preserve">ome argue that </w:t>
      </w:r>
      <w:r w:rsidR="00E3416A">
        <w:t xml:space="preserve">it makes no sense to require the </w:t>
      </w:r>
      <w:r w:rsidR="00A57270">
        <w:t>promisee</w:t>
      </w:r>
      <w:r w:rsidR="00E3416A">
        <w:t xml:space="preserve"> to pay something even very small to the promisor to make the promise binding (Evers 1977, p. 4; </w:t>
      </w:r>
      <w:r w:rsidR="001C1B7F">
        <w:t xml:space="preserve">Rothbard </w:t>
      </w:r>
      <w:r w:rsidR="00CB0765">
        <w:t>1998</w:t>
      </w:r>
      <w:r w:rsidR="00DE20E9">
        <w:t>a</w:t>
      </w:r>
      <w:r w:rsidR="001C1B7F">
        <w:t xml:space="preserve">, 147–48 n.18; </w:t>
      </w:r>
      <w:r w:rsidR="00C05EC8">
        <w:t>Kinsella 2023</w:t>
      </w:r>
      <w:r w:rsidR="00DE20E9">
        <w:t>a</w:t>
      </w:r>
      <w:r w:rsidR="00C05EC8">
        <w:t>, Part I.D</w:t>
      </w:r>
      <w:r w:rsidR="00E3416A">
        <w:t>)</w:t>
      </w:r>
      <w:r w:rsidR="00742751">
        <w:t>.</w:t>
      </w:r>
      <w:r w:rsidR="00E3416A">
        <w:t xml:space="preserve"> </w:t>
      </w:r>
      <w:r w:rsidR="00A160E5">
        <w:t xml:space="preserve">By contrast, </w:t>
      </w:r>
      <w:r w:rsidR="00FB68B4">
        <w:t>the civil law</w:t>
      </w:r>
      <w:r w:rsidR="0075350E">
        <w:t xml:space="preserve"> </w:t>
      </w:r>
      <w:r w:rsidR="00BC6702">
        <w:t xml:space="preserve">does not require consideration and </w:t>
      </w:r>
      <w:r w:rsidR="00A57270">
        <w:t>holds that valid contracts must</w:t>
      </w:r>
      <w:r w:rsidR="00DE01AE">
        <w:t xml:space="preserve"> merely</w:t>
      </w:r>
      <w:r w:rsidR="00A57270">
        <w:t xml:space="preserve"> have a lawful </w:t>
      </w:r>
      <w:r w:rsidR="00BB56BA">
        <w:rPr>
          <w:i/>
          <w:iCs/>
        </w:rPr>
        <w:t>cause</w:t>
      </w:r>
      <w:r w:rsidR="00A57270">
        <w:t xml:space="preserve"> (La. Civ. Code</w:t>
      </w:r>
      <w:r w:rsidR="007C2C84">
        <w:t xml:space="preserve"> (2024)</w:t>
      </w:r>
      <w:r w:rsidR="00416DF3">
        <w:t>,</w:t>
      </w:r>
      <w:r w:rsidR="00A57270">
        <w:t xml:space="preserve"> arts. 1966–1970; Levasseur 2010, ch. 5; Litvinoff 1987).</w:t>
      </w:r>
    </w:p>
    <w:p w14:paraId="34AAB70D" w14:textId="188A9A5A" w:rsidR="00496321" w:rsidRDefault="00FA1D6B" w:rsidP="00996300">
      <w:pPr>
        <w:spacing w:before="360" w:after="120"/>
      </w:pPr>
      <w:r>
        <w:rPr>
          <w:i/>
          <w:iCs/>
        </w:rPr>
        <w:t xml:space="preserve">B. </w:t>
      </w:r>
      <w:r w:rsidR="00496321">
        <w:rPr>
          <w:i/>
          <w:iCs/>
        </w:rPr>
        <w:t>Obligations</w:t>
      </w:r>
      <w:r w:rsidR="00FB19A1">
        <w:rPr>
          <w:i/>
          <w:iCs/>
        </w:rPr>
        <w:t xml:space="preserve"> </w:t>
      </w:r>
      <w:proofErr w:type="gramStart"/>
      <w:r w:rsidR="00FB19A1">
        <w:rPr>
          <w:i/>
          <w:iCs/>
        </w:rPr>
        <w:t>To</w:t>
      </w:r>
      <w:proofErr w:type="gramEnd"/>
      <w:r w:rsidR="00FB19A1">
        <w:rPr>
          <w:i/>
          <w:iCs/>
        </w:rPr>
        <w:t xml:space="preserve"> Do</w:t>
      </w:r>
      <w:r w:rsidR="002D3588">
        <w:rPr>
          <w:i/>
          <w:iCs/>
        </w:rPr>
        <w:t xml:space="preserve">, Obligations </w:t>
      </w:r>
      <w:proofErr w:type="gramStart"/>
      <w:r w:rsidR="00FB19A1">
        <w:rPr>
          <w:i/>
          <w:iCs/>
        </w:rPr>
        <w:t>To</w:t>
      </w:r>
      <w:proofErr w:type="gramEnd"/>
      <w:r w:rsidR="00FB19A1">
        <w:rPr>
          <w:i/>
          <w:iCs/>
        </w:rPr>
        <w:t xml:space="preserve"> Give</w:t>
      </w:r>
      <w:r w:rsidR="002D3588">
        <w:rPr>
          <w:i/>
          <w:iCs/>
        </w:rPr>
        <w:t>, and Specific Performance</w:t>
      </w:r>
    </w:p>
    <w:p w14:paraId="38E61A26" w14:textId="77777777" w:rsidR="004C5B44" w:rsidRDefault="004C5B44" w:rsidP="00996300">
      <w:pPr>
        <w:spacing w:after="120"/>
        <w:ind w:firstLine="720"/>
      </w:pPr>
      <w:bookmarkStart w:id="38" w:name="OLE_LINK438"/>
      <w:bookmarkStart w:id="39" w:name="OLE_LINK439"/>
      <w:r>
        <w:lastRenderedPageBreak/>
        <w:t>Conventional theories of contract are thus problematic and somewhat incoherent. This can be seen by considering how the binding promises view of contract deals with specific performance.</w:t>
      </w:r>
    </w:p>
    <w:bookmarkEnd w:id="38"/>
    <w:bookmarkEnd w:id="39"/>
    <w:p w14:paraId="0B8E330A" w14:textId="3D8EC7D3" w:rsidR="00A1008F" w:rsidRDefault="0041125A" w:rsidP="00996300">
      <w:pPr>
        <w:spacing w:after="120"/>
        <w:ind w:firstLine="720"/>
      </w:pPr>
      <w:r>
        <w:t>According to t</w:t>
      </w:r>
      <w:r w:rsidR="00A1008F">
        <w:t xml:space="preserve">he </w:t>
      </w:r>
      <w:r w:rsidR="00A1008F" w:rsidRPr="00EA30CB">
        <w:rPr>
          <w:i/>
          <w:iCs/>
        </w:rPr>
        <w:t xml:space="preserve">Restatement </w:t>
      </w:r>
      <w:r w:rsidR="00BB56BA" w:rsidRPr="00EA30CB">
        <w:rPr>
          <w:i/>
          <w:iCs/>
        </w:rPr>
        <w:t>(Second) of Contracts</w:t>
      </w:r>
      <w:r w:rsidR="00BB56BA">
        <w:t xml:space="preserve"> </w:t>
      </w:r>
      <w:r w:rsidR="0013073A">
        <w:t>(1981</w:t>
      </w:r>
      <w:r w:rsidR="00A1008F">
        <w:t>, section 1</w:t>
      </w:r>
      <w:r w:rsidR="00BB56BA">
        <w:t>)</w:t>
      </w:r>
      <w:r>
        <w:t xml:space="preserve">, </w:t>
      </w:r>
      <w:r w:rsidR="00A1008F">
        <w:t xml:space="preserve">“A contract is a promise or a set of promises for the breach of which the law gives a remedy, or the performance of which the law in some way recognizes as a duty.” </w:t>
      </w:r>
      <w:r w:rsidR="00B552CD">
        <w:t>“</w:t>
      </w:r>
      <w:r w:rsidR="00A1008F">
        <w:t xml:space="preserve">In essence, a contract is an </w:t>
      </w:r>
      <w:r w:rsidR="00A1008F" w:rsidRPr="009B6BE9">
        <w:rPr>
          <w:i/>
          <w:iCs/>
        </w:rPr>
        <w:t>enforceable promise</w:t>
      </w:r>
      <w:r w:rsidR="00A1008F">
        <w:t xml:space="preserve">” </w:t>
      </w:r>
      <w:r w:rsidR="009C310E">
        <w:t>(</w:t>
      </w:r>
      <w:r w:rsidR="007D240F">
        <w:t xml:space="preserve">Barnett 2010, </w:t>
      </w:r>
      <w:r w:rsidR="000226E3">
        <w:t>I.</w:t>
      </w:r>
      <w:r w:rsidR="003C628B">
        <w:t>6</w:t>
      </w:r>
      <w:r w:rsidR="007D240F">
        <w:t>)</w:t>
      </w:r>
      <w:r w:rsidR="00993509">
        <w:t>. Indeed,</w:t>
      </w:r>
      <w:r w:rsidR="00FD6EFB">
        <w:t xml:space="preserve"> </w:t>
      </w:r>
      <w:r w:rsidR="00C77C3C">
        <w:t>“mainstream contract theory is dominated by th</w:t>
      </w:r>
      <w:r w:rsidR="00A26978">
        <w:t>e</w:t>
      </w:r>
      <w:r w:rsidR="00C77C3C">
        <w:t xml:space="preserve"> conception </w:t>
      </w:r>
      <w:r w:rsidR="00BB56BA">
        <w:t>of ‘</w:t>
      </w:r>
      <w:r w:rsidR="00C77C3C">
        <w:t>contract as promise’”</w:t>
      </w:r>
      <w:r w:rsidR="00FD6EFB">
        <w:t xml:space="preserve"> (Barnett 1992, p. 1025).</w:t>
      </w:r>
    </w:p>
    <w:p w14:paraId="45BC8A45" w14:textId="091851D7" w:rsidR="002B4D8A" w:rsidRDefault="00DC5A52" w:rsidP="00996300">
      <w:pPr>
        <w:spacing w:after="120"/>
        <w:ind w:firstLine="720"/>
      </w:pPr>
      <w:r>
        <w:t>Civil law systems are similar</w:t>
      </w:r>
      <w:r w:rsidR="00BB56BA">
        <w:t xml:space="preserve"> in this respect</w:t>
      </w:r>
      <w:r>
        <w:t xml:space="preserve">: </w:t>
      </w:r>
    </w:p>
    <w:p w14:paraId="1E1189A2" w14:textId="36E202CB" w:rsidR="00DC5A52" w:rsidRPr="002B4D8A" w:rsidRDefault="00DC5A52" w:rsidP="00996300">
      <w:pPr>
        <w:spacing w:after="120"/>
        <w:ind w:left="900" w:right="900"/>
        <w:rPr>
          <w:sz w:val="22"/>
          <w:szCs w:val="22"/>
        </w:rPr>
      </w:pPr>
      <w:r w:rsidRPr="002B4D8A">
        <w:rPr>
          <w:sz w:val="22"/>
          <w:szCs w:val="22"/>
        </w:rPr>
        <w:t>According to civil law systems, a contract is an agreement whereby one party is bound to another. …  The Louisiana Civil Code defines a contract as an agreement between parties that creates, modifies or extinguishes an obligation. The French Civil Code contains a similar definition: a contract is an agreement (</w:t>
      </w:r>
      <w:r w:rsidRPr="002B4D8A">
        <w:rPr>
          <w:i/>
          <w:iCs/>
          <w:sz w:val="22"/>
          <w:szCs w:val="22"/>
        </w:rPr>
        <w:t>convention</w:t>
      </w:r>
      <w:r w:rsidRPr="002B4D8A">
        <w:rPr>
          <w:sz w:val="22"/>
          <w:szCs w:val="22"/>
        </w:rPr>
        <w:t xml:space="preserve">) that binds one party to another to give, to do, or not to do something. </w:t>
      </w:r>
      <w:r w:rsidR="008214E1">
        <w:rPr>
          <w:sz w:val="22"/>
          <w:szCs w:val="22"/>
        </w:rPr>
        <w:t>(</w:t>
      </w:r>
      <w:proofErr w:type="spellStart"/>
      <w:r w:rsidR="008214E1">
        <w:rPr>
          <w:sz w:val="22"/>
          <w:szCs w:val="22"/>
        </w:rPr>
        <w:t>Larroumet</w:t>
      </w:r>
      <w:proofErr w:type="spellEnd"/>
      <w:r w:rsidR="008214E1">
        <w:rPr>
          <w:sz w:val="22"/>
          <w:szCs w:val="22"/>
        </w:rPr>
        <w:t xml:space="preserve"> 1986, p. 1209)</w:t>
      </w:r>
    </w:p>
    <w:p w14:paraId="645F10A4" w14:textId="520CBCBA" w:rsidR="003C6D64" w:rsidRDefault="00D5137C" w:rsidP="00996300">
      <w:pPr>
        <w:spacing w:after="120"/>
        <w:ind w:firstLine="720"/>
      </w:pPr>
      <w:r>
        <w:t>Th</w:t>
      </w:r>
      <w:r w:rsidR="00107630">
        <w:t>e obligation</w:t>
      </w:r>
      <w:r w:rsidR="0059581F">
        <w:t>s</w:t>
      </w:r>
      <w:r w:rsidR="00107630">
        <w:t xml:space="preserve"> that emerge from the making of certain promises </w:t>
      </w:r>
      <w:r>
        <w:t xml:space="preserve">may be classified as obligations </w:t>
      </w:r>
      <w:r w:rsidRPr="00FB29ED">
        <w:rPr>
          <w:i/>
          <w:iCs/>
        </w:rPr>
        <w:t>to do</w:t>
      </w:r>
      <w:r w:rsidR="00107630">
        <w:t xml:space="preserve"> (to paint your house)</w:t>
      </w:r>
      <w:r>
        <w:t xml:space="preserve">, </w:t>
      </w:r>
      <w:r w:rsidRPr="00FB29ED">
        <w:rPr>
          <w:i/>
          <w:iCs/>
        </w:rPr>
        <w:t>not to do</w:t>
      </w:r>
      <w:r w:rsidR="00774A85">
        <w:rPr>
          <w:i/>
          <w:iCs/>
        </w:rPr>
        <w:t xml:space="preserve"> </w:t>
      </w:r>
      <w:r w:rsidR="00774A85" w:rsidRPr="00774A85">
        <w:t>(to abstain from drinking; to not work for a competitor)</w:t>
      </w:r>
      <w:r w:rsidRPr="00BB56BA">
        <w:t>,</w:t>
      </w:r>
      <w:r>
        <w:t xml:space="preserve"> or </w:t>
      </w:r>
      <w:r w:rsidRPr="00FB29ED">
        <w:rPr>
          <w:i/>
          <w:iCs/>
        </w:rPr>
        <w:t>to give</w:t>
      </w:r>
      <w:r w:rsidR="00107630">
        <w:t xml:space="preserve"> (to sell you my house</w:t>
      </w:r>
      <w:r w:rsidR="00DF62C9">
        <w:t xml:space="preserve"> or horse</w:t>
      </w:r>
      <w:r w:rsidR="00107630">
        <w:t>)</w:t>
      </w:r>
      <w:r>
        <w:t>.</w:t>
      </w:r>
      <w:r w:rsidR="005C4F89">
        <w:t xml:space="preserve"> (See </w:t>
      </w:r>
      <w:r w:rsidR="005C4F89" w:rsidRPr="005C4F89">
        <w:t>L</w:t>
      </w:r>
      <w:r w:rsidR="005C4F89">
        <w:t>a.</w:t>
      </w:r>
      <w:r w:rsidR="005C4F89" w:rsidRPr="005C4F89">
        <w:t xml:space="preserve"> Civ</w:t>
      </w:r>
      <w:r w:rsidR="005C4F89">
        <w:t>.</w:t>
      </w:r>
      <w:r w:rsidR="005C4F89" w:rsidRPr="005C4F89">
        <w:t xml:space="preserve"> Code</w:t>
      </w:r>
      <w:r w:rsidR="00855311">
        <w:t xml:space="preserve"> </w:t>
      </w:r>
      <w:r w:rsidR="00855311">
        <w:t>(2024)</w:t>
      </w:r>
      <w:r w:rsidR="0008447D">
        <w:t>,</w:t>
      </w:r>
      <w:r w:rsidR="005C4F89" w:rsidRPr="005C4F89">
        <w:t xml:space="preserve"> arts. 1756</w:t>
      </w:r>
      <w:r w:rsidR="00CE176A">
        <w:t xml:space="preserve">, </w:t>
      </w:r>
      <w:r w:rsidR="005C4F89" w:rsidRPr="005C4F89">
        <w:t>1986</w:t>
      </w:r>
      <w:r w:rsidR="00E45C85">
        <w:t xml:space="preserve">, </w:t>
      </w:r>
      <w:r w:rsidR="00D2650F">
        <w:t xml:space="preserve">1987, </w:t>
      </w:r>
      <w:r w:rsidR="00E45C85">
        <w:t>2931, 663</w:t>
      </w:r>
      <w:r w:rsidR="005C4F89">
        <w:t xml:space="preserve">; </w:t>
      </w:r>
      <w:r w:rsidR="00D2650F">
        <w:t>La. Code Civ. Proc.</w:t>
      </w:r>
      <w:r w:rsidR="001A0ECD">
        <w:t xml:space="preserve"> </w:t>
      </w:r>
      <w:r w:rsidR="001A0ECD">
        <w:t>(2024)</w:t>
      </w:r>
      <w:r w:rsidR="00D2650F">
        <w:t xml:space="preserve">, arts </w:t>
      </w:r>
      <w:r w:rsidR="001B1D06">
        <w:t>3601, 3603</w:t>
      </w:r>
      <w:r w:rsidR="00D2650F">
        <w:t xml:space="preserve">; </w:t>
      </w:r>
      <w:r w:rsidR="00707FA2" w:rsidRPr="00437F9D">
        <w:t>Tannenbaum</w:t>
      </w:r>
      <w:r w:rsidR="00707FA2">
        <w:t xml:space="preserve"> 1954; </w:t>
      </w:r>
      <w:r w:rsidR="005C4F89" w:rsidRPr="005C4F89">
        <w:t>Levasseur</w:t>
      </w:r>
      <w:r w:rsidR="00BD6BE0">
        <w:t xml:space="preserve"> </w:t>
      </w:r>
      <w:r w:rsidR="00073AF4">
        <w:t>2009</w:t>
      </w:r>
      <w:r w:rsidR="00BC7A5B">
        <w:t>, §1.2</w:t>
      </w:r>
      <w:r w:rsidR="005C4F89">
        <w:t xml:space="preserve">; </w:t>
      </w:r>
      <w:r w:rsidR="008D4CDE">
        <w:t xml:space="preserve">Levasseur 2010, §8.2.1; </w:t>
      </w:r>
      <w:r w:rsidR="005C4F89">
        <w:t>Kinsella 2023</w:t>
      </w:r>
      <w:r w:rsidR="00975294">
        <w:t>a</w:t>
      </w:r>
      <w:r w:rsidR="005C4F89">
        <w:t>, p. 208</w:t>
      </w:r>
      <w:r w:rsidR="00BB56BA">
        <w:t>)</w:t>
      </w:r>
      <w:r w:rsidR="009972AF">
        <w:t xml:space="preserve"> </w:t>
      </w:r>
    </w:p>
    <w:p w14:paraId="0F1A104E" w14:textId="254BBE18" w:rsidR="00EE5D8E" w:rsidRDefault="00D5137C" w:rsidP="00996300">
      <w:pPr>
        <w:spacing w:after="120"/>
        <w:ind w:firstLine="720"/>
      </w:pPr>
      <w:r>
        <w:t>Failure to perform a</w:t>
      </w:r>
      <w:r w:rsidR="00AB695C">
        <w:t xml:space="preserve"> contractual</w:t>
      </w:r>
      <w:r>
        <w:t xml:space="preserve"> obligation is considered a </w:t>
      </w:r>
      <w:r w:rsidRPr="00AA2702">
        <w:rPr>
          <w:i/>
          <w:iCs/>
        </w:rPr>
        <w:t>breach of contract</w:t>
      </w:r>
      <w:r>
        <w:t xml:space="preserve"> </w:t>
      </w:r>
      <w:r w:rsidR="00993509">
        <w:t>which</w:t>
      </w:r>
      <w:r>
        <w:t xml:space="preserve"> gives rise to a remedy.</w:t>
      </w:r>
      <w:r w:rsidR="003C6D64">
        <w:t xml:space="preserve"> </w:t>
      </w:r>
      <w:r w:rsidR="007B6407">
        <w:t xml:space="preserve">But what remedy? </w:t>
      </w:r>
      <w:r w:rsidR="005A24DF">
        <w:t xml:space="preserve">In the case of an obligation </w:t>
      </w:r>
      <w:r w:rsidR="005A24DF" w:rsidRPr="00014728">
        <w:rPr>
          <w:i/>
          <w:iCs/>
        </w:rPr>
        <w:t>to give</w:t>
      </w:r>
      <w:r w:rsidR="005A24DF">
        <w:t xml:space="preserve"> something, the law can </w:t>
      </w:r>
      <w:r w:rsidR="008538C1">
        <w:t xml:space="preserve">enforce the promised obligation to give by </w:t>
      </w:r>
      <w:r w:rsidR="005A24DF">
        <w:t>recogniz</w:t>
      </w:r>
      <w:r w:rsidR="008538C1">
        <w:t>ing</w:t>
      </w:r>
      <w:r w:rsidR="005A24DF">
        <w:t xml:space="preserve"> the promisee as the new owner of the thing</w:t>
      </w:r>
      <w:r w:rsidR="00097C83">
        <w:t xml:space="preserve"> transferred</w:t>
      </w:r>
      <w:r w:rsidR="005A24DF">
        <w:t>.</w:t>
      </w:r>
      <w:r w:rsidR="000E07CF">
        <w:t xml:space="preserve"> In this way, contract law is embedded in or an application of property law.</w:t>
      </w:r>
      <w:r w:rsidR="005A24DF">
        <w:t xml:space="preserve"> But what about obligations </w:t>
      </w:r>
      <w:r w:rsidR="005A24DF" w:rsidRPr="003170B6">
        <w:rPr>
          <w:i/>
          <w:iCs/>
        </w:rPr>
        <w:t>to do</w:t>
      </w:r>
      <w:r w:rsidR="005A24DF">
        <w:t xml:space="preserve"> something, that is, to perform some action? Will the court order what is called </w:t>
      </w:r>
      <w:r w:rsidR="005A24DF" w:rsidRPr="009B3E36">
        <w:rPr>
          <w:i/>
          <w:iCs/>
        </w:rPr>
        <w:t>specific performance</w:t>
      </w:r>
      <w:r w:rsidR="005A24DF">
        <w:t xml:space="preserve">, compelling the promisor to perform certain </w:t>
      </w:r>
      <w:r w:rsidR="005A24DF">
        <w:rPr>
          <w:i/>
          <w:iCs/>
        </w:rPr>
        <w:t>acts</w:t>
      </w:r>
      <w:r w:rsidR="005A24DF">
        <w:t xml:space="preserve">? </w:t>
      </w:r>
      <w:r w:rsidR="00EE5D8E">
        <w:t xml:space="preserve">If the court can enforce an obligation </w:t>
      </w:r>
      <w:r w:rsidR="00EE5D8E" w:rsidRPr="00833224">
        <w:rPr>
          <w:i/>
          <w:iCs/>
        </w:rPr>
        <w:t>to give</w:t>
      </w:r>
      <w:r w:rsidR="00EE5D8E">
        <w:t>, why can</w:t>
      </w:r>
      <w:r w:rsidR="008C11A1">
        <w:t xml:space="preserve"> </w:t>
      </w:r>
      <w:r w:rsidR="00EE5D8E">
        <w:t xml:space="preserve">it not enforce a promise </w:t>
      </w:r>
      <w:r w:rsidR="00EE5D8E" w:rsidRPr="00DD5506">
        <w:rPr>
          <w:i/>
          <w:iCs/>
        </w:rPr>
        <w:t>to do</w:t>
      </w:r>
      <w:r w:rsidR="00EE5D8E">
        <w:t xml:space="preserve"> something by ordering</w:t>
      </w:r>
      <w:r w:rsidR="00BA20DF">
        <w:t xml:space="preserve"> or</w:t>
      </w:r>
      <w:r w:rsidR="00EE5D8E">
        <w:t xml:space="preserve"> compelling the promisor to perfo</w:t>
      </w:r>
      <w:r w:rsidR="00D76DA1">
        <w:t>rm</w:t>
      </w:r>
      <w:r w:rsidR="00EE5D8E">
        <w:t xml:space="preserve">? After all, </w:t>
      </w:r>
      <w:r w:rsidR="00DF62C9">
        <w:t xml:space="preserve">the positive </w:t>
      </w:r>
      <w:r w:rsidR="00516B5D">
        <w:t xml:space="preserve">law </w:t>
      </w:r>
      <w:r w:rsidR="006D4FAE">
        <w:t xml:space="preserve">often enforces other legal duties </w:t>
      </w:r>
      <w:r w:rsidR="0099051B">
        <w:t xml:space="preserve">or obligations </w:t>
      </w:r>
      <w:r w:rsidR="00DF62C9">
        <w:t>with force—jailing someone who commits murder or evades taxes</w:t>
      </w:r>
      <w:r w:rsidR="00B9293A">
        <w:t>, for example</w:t>
      </w:r>
      <w:r w:rsidR="00B0630B">
        <w:t xml:space="preserve">. </w:t>
      </w:r>
    </w:p>
    <w:p w14:paraId="07CDAFEC" w14:textId="7A3049C5" w:rsidR="005B1587" w:rsidRDefault="00EE5D8E" w:rsidP="00996300">
      <w:pPr>
        <w:spacing w:after="120"/>
        <w:ind w:firstLine="720"/>
      </w:pPr>
      <w:r>
        <w:t xml:space="preserve">And yet </w:t>
      </w:r>
      <w:r w:rsidR="00B0630B">
        <w:t xml:space="preserve">courts generally will not compel specific performance of contractual obligations </w:t>
      </w:r>
      <w:r w:rsidR="00B0630B">
        <w:rPr>
          <w:i/>
          <w:iCs/>
        </w:rPr>
        <w:t>to do</w:t>
      </w:r>
      <w:r w:rsidR="00143BC1">
        <w:t xml:space="preserve"> somethin</w:t>
      </w:r>
      <w:r w:rsidR="00FB3C3A">
        <w:t>g</w:t>
      </w:r>
      <w:r w:rsidR="00D411CA">
        <w:t>, to perform an action</w:t>
      </w:r>
      <w:r w:rsidR="00982AAE">
        <w:t xml:space="preserve">. The standard argument is that </w:t>
      </w:r>
      <w:r w:rsidR="00FB3C3A">
        <w:t>it would be too difficult for the court to monitor the performance</w:t>
      </w:r>
      <w:r w:rsidR="003B1914">
        <w:t xml:space="preserve"> and ensure that it was adequately performed</w:t>
      </w:r>
      <w:r w:rsidR="00B0630B">
        <w:t>. Instead, the</w:t>
      </w:r>
      <w:r w:rsidR="00143BC1">
        <w:t xml:space="preserve"> courts</w:t>
      </w:r>
      <w:r w:rsidR="00B0630B">
        <w:t xml:space="preserve"> usually </w:t>
      </w:r>
      <w:r w:rsidR="00D5137C">
        <w:t>award monetary damages to compensate the promisee/obligee</w:t>
      </w:r>
      <w:r w:rsidR="00E54BE3">
        <w:t xml:space="preserve"> for the “breach”</w:t>
      </w:r>
      <w:r w:rsidR="00931FF3">
        <w:t xml:space="preserve"> of contract</w:t>
      </w:r>
      <w:r w:rsidR="007671B7">
        <w:t>.</w:t>
      </w:r>
      <w:r w:rsidR="00EE49A7">
        <w:t xml:space="preserve"> </w:t>
      </w:r>
      <w:r w:rsidR="00247F55">
        <w:t>(</w:t>
      </w:r>
      <w:r w:rsidR="00805BE2" w:rsidRPr="00987DDA">
        <w:rPr>
          <w:i/>
          <w:iCs/>
        </w:rPr>
        <w:t>Restatement</w:t>
      </w:r>
      <w:r w:rsidR="00805BE2" w:rsidRPr="00DA5722">
        <w:rPr>
          <w:i/>
        </w:rPr>
        <w:t xml:space="preserve"> of Contracts</w:t>
      </w:r>
      <w:r w:rsidR="00805BE2">
        <w:rPr>
          <w:iCs/>
        </w:rPr>
        <w:t>,</w:t>
      </w:r>
      <w:r w:rsidR="00805BE2">
        <w:t xml:space="preserve"> 1932, </w:t>
      </w:r>
      <w:r w:rsidR="00247F55" w:rsidRPr="00247F55">
        <w:t>§379</w:t>
      </w:r>
      <w:r w:rsidR="00247F55">
        <w:t xml:space="preserve">; </w:t>
      </w:r>
      <w:r w:rsidR="003A2D19">
        <w:t>Tannenbaum 1954</w:t>
      </w:r>
      <w:r w:rsidR="008961A3">
        <w:t xml:space="preserve">) </w:t>
      </w:r>
      <w:r w:rsidR="00FB3C3A">
        <w:t>Another reason</w:t>
      </w:r>
      <w:r w:rsidR="003B1914">
        <w:t xml:space="preserve"> </w:t>
      </w:r>
      <w:r w:rsidR="005032B8">
        <w:t>US</w:t>
      </w:r>
      <w:r w:rsidR="00FB3C3A">
        <w:t xml:space="preserve"> courts would be reluctant to order specific performance is that </w:t>
      </w:r>
      <w:r w:rsidR="00707FA2">
        <w:t xml:space="preserve">requiring someone to perform a personal service smacks of involuntary servitude </w:t>
      </w:r>
      <w:r w:rsidR="0090580B">
        <w:t>(Kronman 1978, p. 376</w:t>
      </w:r>
      <w:r w:rsidR="009D333F">
        <w:t>)</w:t>
      </w:r>
      <w:r w:rsidR="00707FA2">
        <w:t xml:space="preserve"> and probably violates the Thirteenth Amendment to the US </w:t>
      </w:r>
      <w:r w:rsidR="00F4276B">
        <w:t>Constitution</w:t>
      </w:r>
      <w:r w:rsidR="00707FA2">
        <w:t xml:space="preserve"> (</w:t>
      </w:r>
      <w:bookmarkStart w:id="40" w:name="OLE_LINK809"/>
      <w:bookmarkStart w:id="41" w:name="OLE_LINK810"/>
      <w:r w:rsidR="00707FA2">
        <w:t>Bosch 1969, p. 4</w:t>
      </w:r>
      <w:r w:rsidR="00032572">
        <w:t>2</w:t>
      </w:r>
      <w:r w:rsidR="00A023A5">
        <w:t xml:space="preserve">; </w:t>
      </w:r>
      <w:bookmarkEnd w:id="40"/>
      <w:bookmarkEnd w:id="41"/>
      <w:r w:rsidR="00C005C6" w:rsidRPr="006021C2">
        <w:rPr>
          <w:i/>
          <w:iCs/>
        </w:rPr>
        <w:t>Bailey v. State of Alabama</w:t>
      </w:r>
      <w:r w:rsidR="00C005C6">
        <w:t xml:space="preserve"> 1911</w:t>
      </w:r>
      <w:r w:rsidR="00707FA2">
        <w:t>).</w:t>
      </w:r>
      <w:r w:rsidR="00485963">
        <w:t xml:space="preserve"> (Barnett’s consent theory of contract similarly holds that failure to perform a promised personal service only results in the payment of damages. See </w:t>
      </w:r>
      <w:bookmarkStart w:id="42" w:name="OLE_LINK800"/>
      <w:bookmarkStart w:id="43" w:name="OLE_LINK801"/>
      <w:r w:rsidR="00485963">
        <w:t>Barnett 1986b</w:t>
      </w:r>
      <w:r w:rsidR="00BC3C50">
        <w:t xml:space="preserve">, pp. 180, </w:t>
      </w:r>
      <w:r w:rsidR="00F445A3">
        <w:t xml:space="preserve">190–91, </w:t>
      </w:r>
      <w:r w:rsidR="00DC2ABD">
        <w:t>197–98</w:t>
      </w:r>
      <w:r w:rsidR="00D83F6C">
        <w:t>;</w:t>
      </w:r>
      <w:r w:rsidR="00BC3C50">
        <w:t xml:space="preserve"> </w:t>
      </w:r>
      <w:r w:rsidR="00485963">
        <w:t>1987</w:t>
      </w:r>
      <w:r w:rsidR="00101C2B">
        <w:t xml:space="preserve">, p. </w:t>
      </w:r>
      <w:r w:rsidR="00485963">
        <w:t>1993</w:t>
      </w:r>
      <w:r w:rsidR="00D83F6C">
        <w:t>;</w:t>
      </w:r>
      <w:r w:rsidR="00321DC1">
        <w:t xml:space="preserve"> and </w:t>
      </w:r>
      <w:r w:rsidR="00D83F6C">
        <w:t>1991</w:t>
      </w:r>
      <w:r w:rsidR="00567516" w:rsidRPr="00567516">
        <w:t xml:space="preserve">, </w:t>
      </w:r>
      <w:r w:rsidR="00567516">
        <w:t xml:space="preserve">pp. </w:t>
      </w:r>
      <w:r w:rsidR="00567516" w:rsidRPr="00567516">
        <w:t>159, 162, 171</w:t>
      </w:r>
      <w:bookmarkEnd w:id="42"/>
      <w:bookmarkEnd w:id="43"/>
      <w:r w:rsidR="00485963">
        <w:t>.)</w:t>
      </w:r>
    </w:p>
    <w:p w14:paraId="3424A3EC" w14:textId="293835F4" w:rsidR="00D5137C" w:rsidRDefault="005954DE" w:rsidP="00996300">
      <w:pPr>
        <w:spacing w:after="120"/>
        <w:ind w:firstLine="720"/>
      </w:pPr>
      <w:r>
        <w:t>Thus, i</w:t>
      </w:r>
      <w:r w:rsidR="005A24DF">
        <w:t>n practice</w:t>
      </w:r>
      <w:r w:rsidR="00DB3C24">
        <w:t>,</w:t>
      </w:r>
      <w:r w:rsidR="005A24DF">
        <w:t xml:space="preserve"> </w:t>
      </w:r>
      <w:r w:rsidR="005A24DF" w:rsidRPr="00C61C93">
        <w:t>all</w:t>
      </w:r>
      <w:r w:rsidR="005A24DF">
        <w:t xml:space="preserve"> contractual obligations really boil down to </w:t>
      </w:r>
      <w:r w:rsidR="00F34A24">
        <w:t xml:space="preserve">an </w:t>
      </w:r>
      <w:r w:rsidR="005A24DF">
        <w:t xml:space="preserve">obligation </w:t>
      </w:r>
      <w:r w:rsidR="005A24DF" w:rsidRPr="00736B5F">
        <w:rPr>
          <w:i/>
          <w:iCs/>
        </w:rPr>
        <w:t>to give</w:t>
      </w:r>
      <w:r w:rsidR="005A24DF">
        <w:t xml:space="preserve">, </w:t>
      </w:r>
      <w:r w:rsidR="003C6D64" w:rsidRPr="009C310E">
        <w:t>i</w:t>
      </w:r>
      <w:r w:rsidR="003C6D64">
        <w:t>.e.</w:t>
      </w:r>
      <w:r w:rsidR="005A24DF">
        <w:t xml:space="preserve">, </w:t>
      </w:r>
      <w:r w:rsidR="005A24DF" w:rsidRPr="00E54BE3">
        <w:rPr>
          <w:i/>
          <w:iCs/>
        </w:rPr>
        <w:t>to transfer title to some</w:t>
      </w:r>
      <w:r w:rsidR="005A24DF">
        <w:rPr>
          <w:i/>
          <w:iCs/>
        </w:rPr>
        <w:t xml:space="preserve"> </w:t>
      </w:r>
      <w:r w:rsidR="001228D7">
        <w:rPr>
          <w:i/>
          <w:iCs/>
        </w:rPr>
        <w:t xml:space="preserve">owned </w:t>
      </w:r>
      <w:r w:rsidR="005A24DF" w:rsidRPr="00E54BE3">
        <w:rPr>
          <w:i/>
          <w:iCs/>
        </w:rPr>
        <w:t>thing</w:t>
      </w:r>
      <w:r w:rsidR="005A24DF">
        <w:t>.</w:t>
      </w:r>
      <w:r>
        <w:t xml:space="preserve"> T</w:t>
      </w:r>
      <w:r w:rsidR="00D5137C">
        <w:t>he positive law</w:t>
      </w:r>
      <w:r w:rsidR="001465AB">
        <w:t xml:space="preserve"> of contract</w:t>
      </w:r>
      <w:r w:rsidR="00D5137C">
        <w:t xml:space="preserve">, though worded in the language of obligations, binding promises, breach of contract, </w:t>
      </w:r>
      <w:r w:rsidR="005B1587">
        <w:t xml:space="preserve">obligations “to do” </w:t>
      </w:r>
      <w:r w:rsidR="00D5137C">
        <w:t xml:space="preserve">and so on, in the end simply </w:t>
      </w:r>
      <w:r w:rsidR="00D5137C">
        <w:lastRenderedPageBreak/>
        <w:t>amounts to a system of transferring title to owned resources, usually money</w:t>
      </w:r>
      <w:r>
        <w:t xml:space="preserve"> or, in some cases, title to some unique good like land or a painting</w:t>
      </w:r>
      <w:r w:rsidR="00D5137C">
        <w:t>.</w:t>
      </w:r>
      <w:r w:rsidR="006033BC">
        <w:rPr>
          <w:rStyle w:val="FootnoteReference"/>
        </w:rPr>
        <w:footnoteReference w:id="6"/>
      </w:r>
      <w:r w:rsidR="00A248E0">
        <w:t xml:space="preserve"> Contracts are simply</w:t>
      </w:r>
      <w:r w:rsidR="003202EC">
        <w:t>, in practice,</w:t>
      </w:r>
      <w:r w:rsidR="00A248E0">
        <w:t xml:space="preserve"> means of transferring title to owned resources</w:t>
      </w:r>
      <w:r w:rsidR="0022719F">
        <w:t>; promises are not really binding after all</w:t>
      </w:r>
      <w:r w:rsidR="003150EB">
        <w:t xml:space="preserve"> even in the positive law</w:t>
      </w:r>
      <w:r w:rsidR="00022B20">
        <w:t xml:space="preserve"> since, as noted, there is no specific performance; every so-called “binding obligation” simply results in a transfer of title to owned resources</w:t>
      </w:r>
      <w:r w:rsidR="00A248E0">
        <w:t>.</w:t>
      </w:r>
      <w:r w:rsidR="003150EB">
        <w:t xml:space="preserve"> Yet</w:t>
      </w:r>
      <w:r w:rsidR="00B65754">
        <w:t xml:space="preserve"> the institution of</w:t>
      </w:r>
      <w:r w:rsidR="003150EB">
        <w:t xml:space="preserve"> contracting is alive and well.</w:t>
      </w:r>
    </w:p>
    <w:p w14:paraId="422C5246" w14:textId="28E21216" w:rsidR="000937FF" w:rsidRPr="00FB5632" w:rsidRDefault="00FA1D6B" w:rsidP="003530F9">
      <w:pPr>
        <w:spacing w:before="360" w:after="120"/>
        <w:jc w:val="center"/>
        <w:rPr>
          <w:b/>
          <w:bCs/>
        </w:rPr>
      </w:pPr>
      <w:r>
        <w:rPr>
          <w:b/>
          <w:bCs/>
        </w:rPr>
        <w:t xml:space="preserve">III. </w:t>
      </w:r>
      <w:r w:rsidR="000937FF">
        <w:rPr>
          <w:b/>
          <w:bCs/>
        </w:rPr>
        <w:t>The Title-Transfer Theory of Contract</w:t>
      </w:r>
    </w:p>
    <w:bookmarkEnd w:id="13"/>
    <w:bookmarkEnd w:id="14"/>
    <w:p w14:paraId="53EBB848" w14:textId="0AA27751" w:rsidR="00201740" w:rsidRDefault="000937FF" w:rsidP="00996300">
      <w:pPr>
        <w:spacing w:after="120"/>
      </w:pPr>
      <w:r>
        <w:tab/>
        <w:t xml:space="preserve">Williamson Evers </w:t>
      </w:r>
      <w:r w:rsidR="00DE45D5">
        <w:t>(</w:t>
      </w:r>
      <w:r w:rsidR="0034185F">
        <w:t>1977</w:t>
      </w:r>
      <w:r w:rsidR="00DE45D5">
        <w:t>)</w:t>
      </w:r>
      <w:r w:rsidR="001677A5">
        <w:t xml:space="preserve">, in </w:t>
      </w:r>
      <w:r w:rsidR="003A46DD">
        <w:t xml:space="preserve">the first article in the first issue of the </w:t>
      </w:r>
      <w:r w:rsidR="003A46DD">
        <w:rPr>
          <w:i/>
          <w:iCs/>
        </w:rPr>
        <w:t xml:space="preserve">Journal of Libertarian </w:t>
      </w:r>
      <w:r w:rsidR="003A46DD" w:rsidRPr="003A46DD">
        <w:rPr>
          <w:i/>
          <w:iCs/>
        </w:rPr>
        <w:t>Studies</w:t>
      </w:r>
      <w:r w:rsidR="003A46DD">
        <w:t xml:space="preserve">, and </w:t>
      </w:r>
      <w:r w:rsidR="00BB2A53">
        <w:t xml:space="preserve">Murray </w:t>
      </w:r>
      <w:r w:rsidR="003A46DD">
        <w:t>Rothbard (</w:t>
      </w:r>
      <w:r w:rsidR="00CB0765">
        <w:t>1998</w:t>
      </w:r>
      <w:r w:rsidR="00CB7F98">
        <w:t>a</w:t>
      </w:r>
      <w:r w:rsidR="003A46DD">
        <w:t xml:space="preserve">), in a chapter first published in his 1982 book </w:t>
      </w:r>
      <w:r w:rsidR="003A46DD">
        <w:rPr>
          <w:i/>
          <w:iCs/>
        </w:rPr>
        <w:t xml:space="preserve">The Ethics of </w:t>
      </w:r>
      <w:r w:rsidR="003A46DD" w:rsidRPr="00863657">
        <w:rPr>
          <w:i/>
          <w:iCs/>
        </w:rPr>
        <w:t>Liberty</w:t>
      </w:r>
      <w:r w:rsidR="00182787" w:rsidRPr="00182787">
        <w:t xml:space="preserve"> (1998)</w:t>
      </w:r>
      <w:r w:rsidR="003A46DD">
        <w:t xml:space="preserve">, </w:t>
      </w:r>
      <w:r w:rsidRPr="003A46DD">
        <w:t>challenged</w:t>
      </w:r>
      <w:r>
        <w:t xml:space="preserve"> the conventional “binding promises” view of contract</w:t>
      </w:r>
      <w:r w:rsidR="003A46DD">
        <w:t xml:space="preserve">. They </w:t>
      </w:r>
      <w:r>
        <w:t xml:space="preserve">advocated </w:t>
      </w:r>
      <w:r w:rsidR="00D91895">
        <w:t xml:space="preserve">instead </w:t>
      </w:r>
      <w:r>
        <w:t xml:space="preserve">a </w:t>
      </w:r>
      <w:r w:rsidRPr="00C61C93">
        <w:rPr>
          <w:i/>
        </w:rPr>
        <w:t>title-transfer theory</w:t>
      </w:r>
      <w:r w:rsidR="00F301E7">
        <w:t xml:space="preserve">, </w:t>
      </w:r>
      <w:r>
        <w:t xml:space="preserve">in which contracts are </w:t>
      </w:r>
      <w:r w:rsidR="0072565A">
        <w:t xml:space="preserve">seen as merely </w:t>
      </w:r>
      <w:r w:rsidR="00C109F4" w:rsidRPr="00C61C93">
        <w:rPr>
          <w:i/>
        </w:rPr>
        <w:t xml:space="preserve">ways of transferring </w:t>
      </w:r>
      <w:r w:rsidRPr="00C61C93">
        <w:rPr>
          <w:i/>
        </w:rPr>
        <w:t>title</w:t>
      </w:r>
      <w:r>
        <w:t>, by an owner</w:t>
      </w:r>
      <w:r w:rsidR="00703A38">
        <w:t xml:space="preserve"> (the </w:t>
      </w:r>
      <w:bookmarkStart w:id="46" w:name="OLE_LINK769"/>
      <w:bookmarkStart w:id="47" w:name="OLE_LINK770"/>
      <w:r w:rsidR="00703A38">
        <w:t>transferor</w:t>
      </w:r>
      <w:bookmarkEnd w:id="46"/>
      <w:bookmarkEnd w:id="47"/>
      <w:r w:rsidR="00703A38">
        <w:t>)</w:t>
      </w:r>
      <w:r>
        <w:t>, to some property or resource he owns</w:t>
      </w:r>
      <w:r w:rsidR="00AA6730">
        <w:t xml:space="preserve">, to some recipient </w:t>
      </w:r>
      <w:r w:rsidR="00703A38">
        <w:t xml:space="preserve">(the </w:t>
      </w:r>
      <w:bookmarkStart w:id="48" w:name="OLE_LINK771"/>
      <w:bookmarkStart w:id="49" w:name="OLE_LINK772"/>
      <w:r w:rsidR="00703A38">
        <w:t>transferee</w:t>
      </w:r>
      <w:bookmarkEnd w:id="48"/>
      <w:bookmarkEnd w:id="49"/>
      <w:r w:rsidR="00703A38">
        <w:t xml:space="preserve">) </w:t>
      </w:r>
      <w:r w:rsidR="00AA6730">
        <w:t>who then becomes the new owner</w:t>
      </w:r>
      <w:r>
        <w:t>.</w:t>
      </w:r>
      <w:r w:rsidR="00E9642A">
        <w:rPr>
          <w:rStyle w:val="FootnoteReference"/>
        </w:rPr>
        <w:footnoteReference w:id="7"/>
      </w:r>
      <w:r>
        <w:t xml:space="preserve"> After all, as noted above, this is really the end result of the existing system of contract law</w:t>
      </w:r>
      <w:r w:rsidR="007D3742">
        <w:t xml:space="preserve"> since courts don’t </w:t>
      </w:r>
      <w:r w:rsidR="00BF6E9C">
        <w:t>compel</w:t>
      </w:r>
      <w:r w:rsidR="007D3742">
        <w:t xml:space="preserve"> specific performance</w:t>
      </w:r>
      <w:r w:rsidR="00E176A1">
        <w:t xml:space="preserve"> anyway</w:t>
      </w:r>
      <w:r>
        <w:t>. Why not just be direct and clear about this?</w:t>
      </w:r>
      <w:r w:rsidR="002B508C">
        <w:t xml:space="preserve"> </w:t>
      </w:r>
    </w:p>
    <w:p w14:paraId="0438AADE" w14:textId="245E41A5" w:rsidR="00982EFC" w:rsidRPr="00C61C93" w:rsidRDefault="003923C2" w:rsidP="003C34EB">
      <w:pPr>
        <w:widowControl w:val="0"/>
        <w:spacing w:after="120"/>
        <w:ind w:firstLine="720"/>
        <w:rPr>
          <w:sz w:val="22"/>
        </w:rPr>
      </w:pPr>
      <w:r>
        <w:t>O</w:t>
      </w:r>
      <w:r w:rsidR="00201740">
        <w:t xml:space="preserve">ther scholars </w:t>
      </w:r>
      <w:r w:rsidR="00A02235">
        <w:t xml:space="preserve">have </w:t>
      </w:r>
      <w:r w:rsidR="00F730AD">
        <w:t xml:space="preserve">noted </w:t>
      </w:r>
      <w:r w:rsidR="00201740">
        <w:t xml:space="preserve">that contracts can be viewed as title transfers </w:t>
      </w:r>
      <w:r w:rsidR="00B17D6A">
        <w:t xml:space="preserve">instead of </w:t>
      </w:r>
      <w:r w:rsidR="00201740">
        <w:t xml:space="preserve">as binding promises. “In Blackstone’s </w:t>
      </w:r>
      <w:r w:rsidR="00201740" w:rsidRPr="00DB6F51">
        <w:rPr>
          <w:i/>
          <w:iCs/>
        </w:rPr>
        <w:t>Commentaries</w:t>
      </w:r>
      <w:r w:rsidR="00201740">
        <w:t xml:space="preserve">, ... contract and succession are both dealt with as a </w:t>
      </w:r>
      <w:r w:rsidR="00201740" w:rsidRPr="00C9386D">
        <w:rPr>
          <w:i/>
          <w:iCs/>
        </w:rPr>
        <w:t>means by which the title to property gets transferred</w:t>
      </w:r>
      <w:r w:rsidR="00201740">
        <w:t>.” (</w:t>
      </w:r>
      <w:r w:rsidR="00552A0A">
        <w:t xml:space="preserve">Atiyah 1979, p. 89; </w:t>
      </w:r>
      <w:r w:rsidR="00201740">
        <w:t>emphasis added</w:t>
      </w:r>
      <w:r w:rsidR="00F64B6C">
        <w:t>; see also pp. 102–</w:t>
      </w:r>
      <w:r w:rsidR="00B33EDB">
        <w:t>1</w:t>
      </w:r>
      <w:r w:rsidR="00F64B6C">
        <w:t>03</w:t>
      </w:r>
      <w:r w:rsidR="00201740">
        <w:t>)</w:t>
      </w:r>
      <w:r w:rsidR="009B6DCE">
        <w:rPr>
          <w:sz w:val="22"/>
          <w:szCs w:val="22"/>
        </w:rPr>
        <w:t xml:space="preserve"> </w:t>
      </w:r>
      <w:r w:rsidR="00527F47">
        <w:rPr>
          <w:rFonts w:cs="CG Times"/>
        </w:rPr>
        <w:t xml:space="preserve">Horwitz (1977, p. </w:t>
      </w:r>
      <w:r w:rsidR="00982EFC" w:rsidRPr="009F6B5B">
        <w:rPr>
          <w:rFonts w:cs="CG Times"/>
        </w:rPr>
        <w:t>162</w:t>
      </w:r>
      <w:r w:rsidR="00527F47">
        <w:rPr>
          <w:rFonts w:cs="CG Times"/>
        </w:rPr>
        <w:t>)</w:t>
      </w:r>
      <w:r w:rsidR="00984F4A">
        <w:rPr>
          <w:rFonts w:cs="CG Times"/>
        </w:rPr>
        <w:t xml:space="preserve"> </w:t>
      </w:r>
      <w:r w:rsidR="009E32CA">
        <w:rPr>
          <w:rFonts w:cs="CG Times"/>
        </w:rPr>
        <w:t>notes</w:t>
      </w:r>
      <w:r w:rsidR="00F13570">
        <w:rPr>
          <w:rFonts w:cs="CG Times"/>
        </w:rPr>
        <w:t xml:space="preserve"> that</w:t>
      </w:r>
      <w:r w:rsidR="00982EFC" w:rsidRPr="009F6B5B">
        <w:rPr>
          <w:rFonts w:cs="CG Times"/>
        </w:rPr>
        <w:t>:</w:t>
      </w:r>
    </w:p>
    <w:p w14:paraId="0CFFAA51" w14:textId="77777777" w:rsidR="00982EFC" w:rsidRPr="001A07C6" w:rsidRDefault="00982EFC" w:rsidP="00996300">
      <w:pPr>
        <w:spacing w:after="120"/>
        <w:ind w:left="900" w:right="900"/>
        <w:rPr>
          <w:rFonts w:cs="CG Times"/>
          <w:sz w:val="22"/>
          <w:szCs w:val="22"/>
        </w:rPr>
      </w:pPr>
      <w:r w:rsidRPr="001A07C6">
        <w:rPr>
          <w:rFonts w:cs="CG Times"/>
          <w:sz w:val="22"/>
          <w:szCs w:val="22"/>
        </w:rPr>
        <w:t xml:space="preserve">as late as the </w:t>
      </w:r>
      <w:proofErr w:type="gramStart"/>
      <w:r w:rsidRPr="001A07C6">
        <w:rPr>
          <w:rFonts w:cs="CG Times"/>
          <w:sz w:val="22"/>
          <w:szCs w:val="22"/>
        </w:rPr>
        <w:t>eighteenth century</w:t>
      </w:r>
      <w:proofErr w:type="gramEnd"/>
      <w:r w:rsidRPr="001A07C6">
        <w:rPr>
          <w:rFonts w:cs="CG Times"/>
          <w:sz w:val="22"/>
          <w:szCs w:val="22"/>
        </w:rPr>
        <w:t xml:space="preserve"> contract law was still dominated by a </w:t>
      </w:r>
      <w:r w:rsidRPr="001A07C6">
        <w:rPr>
          <w:rFonts w:cs="CG Times"/>
          <w:i/>
          <w:iCs/>
          <w:sz w:val="22"/>
          <w:szCs w:val="22"/>
        </w:rPr>
        <w:t>title theory of exchange</w:t>
      </w:r>
      <w:r w:rsidRPr="001A07C6">
        <w:rPr>
          <w:rFonts w:cs="CG Times"/>
          <w:sz w:val="22"/>
          <w:szCs w:val="22"/>
        </w:rPr>
        <w:t xml:space="preserve"> … </w:t>
      </w:r>
    </w:p>
    <w:p w14:paraId="4735AA96" w14:textId="77777777" w:rsidR="00982EFC" w:rsidRPr="001A07C6" w:rsidRDefault="00982EFC" w:rsidP="00996300">
      <w:pPr>
        <w:spacing w:after="120"/>
        <w:ind w:left="900" w:right="900"/>
        <w:rPr>
          <w:rFonts w:cs="CG Times"/>
          <w:sz w:val="22"/>
          <w:szCs w:val="22"/>
        </w:rPr>
      </w:pPr>
      <w:r w:rsidRPr="001A07C6">
        <w:rPr>
          <w:rFonts w:cs="CG Times"/>
          <w:sz w:val="22"/>
          <w:szCs w:val="22"/>
        </w:rPr>
        <w:t xml:space="preserve">To modern eyes, the most distinctive feature of </w:t>
      </w:r>
      <w:proofErr w:type="gramStart"/>
      <w:r w:rsidRPr="001A07C6">
        <w:rPr>
          <w:rFonts w:cs="CG Times"/>
          <w:sz w:val="22"/>
          <w:szCs w:val="22"/>
        </w:rPr>
        <w:t>eighteenth century</w:t>
      </w:r>
      <w:proofErr w:type="gramEnd"/>
      <w:r w:rsidRPr="001A07C6">
        <w:rPr>
          <w:rFonts w:cs="CG Times"/>
          <w:sz w:val="22"/>
          <w:szCs w:val="22"/>
        </w:rPr>
        <w:t xml:space="preserve"> contract law is the subordination of contract to the law of property. In Blackstone’s </w:t>
      </w:r>
      <w:r w:rsidRPr="001A07C6">
        <w:rPr>
          <w:rFonts w:cs="CG Times"/>
          <w:i/>
          <w:iCs/>
          <w:sz w:val="22"/>
          <w:szCs w:val="22"/>
        </w:rPr>
        <w:t>Commentaries</w:t>
      </w:r>
      <w:r w:rsidRPr="001A07C6">
        <w:rPr>
          <w:rFonts w:cs="CG Times"/>
          <w:sz w:val="22"/>
          <w:szCs w:val="22"/>
        </w:rPr>
        <w:t xml:space="preserve"> contract appears for the first time in Book II, which is devoted entirely to the law of property. Contract is classified among such subjects as descent, purchase, and occupancy as one of the many modes of transferring title to a specific thing. …</w:t>
      </w:r>
    </w:p>
    <w:p w14:paraId="70DE0911" w14:textId="7F4B8DDE" w:rsidR="00982EFC" w:rsidRPr="009F6B5B" w:rsidRDefault="00982EFC" w:rsidP="00996300">
      <w:pPr>
        <w:spacing w:after="120"/>
        <w:ind w:left="900" w:right="900"/>
        <w:rPr>
          <w:rFonts w:cs="CG Times"/>
        </w:rPr>
      </w:pPr>
      <w:r w:rsidRPr="001A07C6">
        <w:rPr>
          <w:rFonts w:cs="CG Times"/>
          <w:sz w:val="22"/>
          <w:szCs w:val="22"/>
        </w:rPr>
        <w:t>As a result of the subordination of contract to property, eighteenth</w:t>
      </w:r>
      <w:r w:rsidR="00F77BE2">
        <w:rPr>
          <w:rFonts w:cs="CG Times"/>
          <w:sz w:val="22"/>
          <w:szCs w:val="22"/>
        </w:rPr>
        <w:t>-</w:t>
      </w:r>
      <w:r w:rsidRPr="001A07C6">
        <w:rPr>
          <w:rFonts w:cs="CG Times"/>
          <w:sz w:val="22"/>
          <w:szCs w:val="22"/>
        </w:rPr>
        <w:t xml:space="preserve">century jurists endorsed a title theory of contractual exchange according to which a contract functioned to transfer title to the specific thing contracted for. Thus, Blackstone wrote that where a seller fails to deliver goods on an executory contract, “the vendee may seize the goods, or have an action against the vendor for detaining them.” Similarly, in </w:t>
      </w:r>
      <w:r w:rsidRPr="001A07C6">
        <w:rPr>
          <w:rFonts w:cs="CG Times"/>
          <w:sz w:val="22"/>
          <w:szCs w:val="22"/>
        </w:rPr>
        <w:lastRenderedPageBreak/>
        <w:t>the first English treatise on contract, Powell wrote of the remedy for failure to deliver stock on an executory contract as being one for specific performance.</w:t>
      </w:r>
    </w:p>
    <w:p w14:paraId="3ABA0B1D" w14:textId="752D701D" w:rsidR="0049729F" w:rsidRPr="006A2867" w:rsidRDefault="009F6B5B" w:rsidP="00996300">
      <w:pPr>
        <w:widowControl w:val="0"/>
        <w:spacing w:after="120"/>
        <w:ind w:firstLine="720"/>
      </w:pPr>
      <w:r w:rsidRPr="009F6B5B">
        <w:rPr>
          <w:rFonts w:cs="CG Times"/>
        </w:rPr>
        <w:t>Evers</w:t>
      </w:r>
      <w:r w:rsidR="00193318">
        <w:rPr>
          <w:rFonts w:cs="CG Times"/>
        </w:rPr>
        <w:t xml:space="preserve"> (1977, </w:t>
      </w:r>
      <w:r w:rsidRPr="009F6B5B">
        <w:rPr>
          <w:rFonts w:cs="CG Times"/>
        </w:rPr>
        <w:t>p. 7</w:t>
      </w:r>
      <w:r w:rsidR="00193318">
        <w:rPr>
          <w:rFonts w:cs="CG Times"/>
        </w:rPr>
        <w:t>)</w:t>
      </w:r>
      <w:r w:rsidR="00A02235">
        <w:rPr>
          <w:rFonts w:cs="CG Times"/>
        </w:rPr>
        <w:t xml:space="preserve"> notes that</w:t>
      </w:r>
      <w:r w:rsidRPr="009F6B5B">
        <w:rPr>
          <w:rFonts w:cs="CG Times"/>
        </w:rPr>
        <w:t>: “[Lysander] Spooner and other legal philosophers like Immanuel Kant have constructed theories of the law of contracts based on property titles rather than on promise.”</w:t>
      </w:r>
      <w:r w:rsidR="0049729F">
        <w:rPr>
          <w:rFonts w:cs="CG Times"/>
        </w:rPr>
        <w:t xml:space="preserve"> And as </w:t>
      </w:r>
      <w:r w:rsidR="0049729F" w:rsidRPr="006A2867">
        <w:t xml:space="preserve">Barnett </w:t>
      </w:r>
      <w:r w:rsidR="0049729F">
        <w:t>(1986</w:t>
      </w:r>
      <w:r w:rsidR="00B53FA4">
        <w:t>a</w:t>
      </w:r>
      <w:r w:rsidR="0049729F">
        <w:t xml:space="preserve">, p. 292) </w:t>
      </w:r>
      <w:r w:rsidR="0049729F" w:rsidRPr="006A2867">
        <w:t>observes:</w:t>
      </w:r>
    </w:p>
    <w:p w14:paraId="6BE21F8E" w14:textId="17E54387" w:rsidR="009F6B5B" w:rsidRPr="0049729F" w:rsidRDefault="0049729F" w:rsidP="00996300">
      <w:pPr>
        <w:spacing w:after="120"/>
        <w:ind w:left="900" w:right="900"/>
        <w:rPr>
          <w:sz w:val="22"/>
          <w:szCs w:val="22"/>
        </w:rPr>
      </w:pPr>
      <w:r w:rsidRPr="006A2867">
        <w:rPr>
          <w:sz w:val="22"/>
          <w:szCs w:val="22"/>
        </w:rPr>
        <w:t>Viewing contract law as part of a more general theory of individual entitlements that specifies how resources may be rightly acquired (property law), used (tort law), and transferred (contract law) is not new.</w:t>
      </w:r>
    </w:p>
    <w:p w14:paraId="0EC70594" w14:textId="79CEF44A" w:rsidR="00A5427E" w:rsidRDefault="00BB5EEE" w:rsidP="00996300">
      <w:pPr>
        <w:spacing w:after="120"/>
        <w:ind w:firstLine="720"/>
      </w:pPr>
      <w:bookmarkStart w:id="50" w:name="OLE_LINK686"/>
      <w:bookmarkStart w:id="51" w:name="OLE_LINK687"/>
      <w:r>
        <w:rPr>
          <w:rFonts w:cs="CG Times"/>
        </w:rPr>
        <w:t>It is time to discard promise-based theories of contract</w:t>
      </w:r>
      <w:r w:rsidR="007D3933">
        <w:rPr>
          <w:rFonts w:cs="CG Times"/>
        </w:rPr>
        <w:t>, to reject the notion of binding promises and breach of contract,</w:t>
      </w:r>
      <w:r>
        <w:rPr>
          <w:rFonts w:cs="CG Times"/>
        </w:rPr>
        <w:t xml:space="preserve"> and </w:t>
      </w:r>
      <w:r w:rsidR="0049729F">
        <w:rPr>
          <w:rFonts w:cs="CG Times"/>
        </w:rPr>
        <w:t xml:space="preserve">to </w:t>
      </w:r>
      <w:r w:rsidR="00B95BFB">
        <w:rPr>
          <w:rFonts w:cs="CG Times"/>
        </w:rPr>
        <w:t>develop</w:t>
      </w:r>
      <w:r>
        <w:rPr>
          <w:rFonts w:cs="CG Times"/>
        </w:rPr>
        <w:t xml:space="preserve"> a</w:t>
      </w:r>
      <w:r w:rsidR="001D41BA">
        <w:rPr>
          <w:rFonts w:cs="CG Times"/>
        </w:rPr>
        <w:t>n improved</w:t>
      </w:r>
      <w:r w:rsidR="00B10C3A">
        <w:rPr>
          <w:rFonts w:cs="CG Times"/>
        </w:rPr>
        <w:t xml:space="preserve"> title-transfer theory</w:t>
      </w:r>
      <w:r w:rsidR="00582D97">
        <w:rPr>
          <w:rFonts w:cs="CG Times"/>
        </w:rPr>
        <w:t xml:space="preserve"> </w:t>
      </w:r>
      <w:r w:rsidR="00582D97">
        <w:t>of contract</w:t>
      </w:r>
      <w:r w:rsidR="00582D97">
        <w:rPr>
          <w:rFonts w:cs="CG Times"/>
        </w:rPr>
        <w:t xml:space="preserve"> (TTTC)</w:t>
      </w:r>
      <w:r w:rsidR="00180BF4">
        <w:rPr>
          <w:rFonts w:cs="CG Times"/>
        </w:rPr>
        <w:t xml:space="preserve">, under which </w:t>
      </w:r>
      <w:r w:rsidR="00180BF4">
        <w:t>contracts are viewed not as binding promises but instead as consensual transfers of title to owned resources</w:t>
      </w:r>
      <w:r w:rsidR="001C5053">
        <w:t xml:space="preserve"> (see also Evers 1978, p.5)</w:t>
      </w:r>
      <w:r w:rsidR="00180BF4">
        <w:t>.</w:t>
      </w:r>
    </w:p>
    <w:p w14:paraId="28944484" w14:textId="3DAB3928" w:rsidR="00D06FF5" w:rsidRPr="00337A6D" w:rsidRDefault="00FA1D6B" w:rsidP="003530F9">
      <w:pPr>
        <w:spacing w:before="360" w:after="120"/>
        <w:jc w:val="center"/>
        <w:rPr>
          <w:b/>
          <w:bCs/>
        </w:rPr>
      </w:pPr>
      <w:bookmarkStart w:id="52" w:name="OLE_LINK675"/>
      <w:bookmarkStart w:id="53" w:name="OLE_LINK676"/>
      <w:r>
        <w:rPr>
          <w:b/>
          <w:bCs/>
        </w:rPr>
        <w:t xml:space="preserve">IV. </w:t>
      </w:r>
      <w:r w:rsidR="00D06FF5" w:rsidRPr="00337A6D">
        <w:rPr>
          <w:b/>
          <w:bCs/>
        </w:rPr>
        <w:t>Some Implications</w:t>
      </w:r>
      <w:r w:rsidR="00337A6D">
        <w:rPr>
          <w:b/>
          <w:bCs/>
        </w:rPr>
        <w:t xml:space="preserve"> </w:t>
      </w:r>
      <w:r w:rsidR="00D06FF5" w:rsidRPr="00337A6D">
        <w:rPr>
          <w:b/>
          <w:bCs/>
        </w:rPr>
        <w:t xml:space="preserve">of </w:t>
      </w:r>
      <w:r w:rsidR="00D24ED9" w:rsidRPr="00C61C93">
        <w:rPr>
          <w:b/>
        </w:rPr>
        <w:t xml:space="preserve">the </w:t>
      </w:r>
      <w:r w:rsidR="00D06FF5" w:rsidRPr="00337A6D">
        <w:rPr>
          <w:b/>
          <w:bCs/>
        </w:rPr>
        <w:t>TTTC</w:t>
      </w:r>
    </w:p>
    <w:p w14:paraId="11E2620C" w14:textId="1FF3703A" w:rsidR="00783286" w:rsidRPr="00783286" w:rsidRDefault="00FA1D6B" w:rsidP="00996300">
      <w:pPr>
        <w:spacing w:after="120"/>
        <w:rPr>
          <w:i/>
          <w:iCs/>
        </w:rPr>
      </w:pPr>
      <w:r>
        <w:rPr>
          <w:i/>
          <w:iCs/>
        </w:rPr>
        <w:t xml:space="preserve">A. </w:t>
      </w:r>
      <w:r w:rsidR="00783286" w:rsidRPr="00783286">
        <w:rPr>
          <w:i/>
          <w:iCs/>
        </w:rPr>
        <w:t>Breach of Contract</w:t>
      </w:r>
      <w:bookmarkEnd w:id="52"/>
      <w:bookmarkEnd w:id="53"/>
      <w:r w:rsidR="000415F6">
        <w:rPr>
          <w:i/>
          <w:iCs/>
        </w:rPr>
        <w:t>,</w:t>
      </w:r>
      <w:r w:rsidR="008034A3">
        <w:rPr>
          <w:i/>
          <w:iCs/>
        </w:rPr>
        <w:t xml:space="preserve"> “Damages</w:t>
      </w:r>
      <w:r w:rsidR="000415F6">
        <w:rPr>
          <w:i/>
          <w:iCs/>
        </w:rPr>
        <w:t>,</w:t>
      </w:r>
      <w:r w:rsidR="008034A3">
        <w:rPr>
          <w:i/>
          <w:iCs/>
        </w:rPr>
        <w:t>”</w:t>
      </w:r>
      <w:r w:rsidR="000415F6">
        <w:rPr>
          <w:i/>
          <w:iCs/>
        </w:rPr>
        <w:t xml:space="preserve"> </w:t>
      </w:r>
      <w:r w:rsidR="00D24ED9" w:rsidRPr="00C61C93">
        <w:rPr>
          <w:i/>
        </w:rPr>
        <w:t xml:space="preserve">and </w:t>
      </w:r>
      <w:r w:rsidR="000415F6">
        <w:rPr>
          <w:i/>
          <w:iCs/>
        </w:rPr>
        <w:t>Performance Bonds</w:t>
      </w:r>
    </w:p>
    <w:p w14:paraId="019F1C1F" w14:textId="16D637E3" w:rsidR="008147CE" w:rsidRDefault="00D06FF5" w:rsidP="00996300">
      <w:pPr>
        <w:spacing w:after="120"/>
        <w:ind w:firstLine="720"/>
      </w:pPr>
      <w:r>
        <w:t>It is important to n</w:t>
      </w:r>
      <w:r w:rsidR="00136990">
        <w:t xml:space="preserve">ote that </w:t>
      </w:r>
      <w:r w:rsidR="00582D97">
        <w:t xml:space="preserve">the TTTC </w:t>
      </w:r>
      <w:r w:rsidR="00A2581E">
        <w:t xml:space="preserve">implies that </w:t>
      </w:r>
      <w:r w:rsidR="00136990" w:rsidRPr="00A2581E">
        <w:rPr>
          <w:i/>
          <w:iCs/>
        </w:rPr>
        <w:t xml:space="preserve">there is no such thing as </w:t>
      </w:r>
      <w:r w:rsidR="00484868" w:rsidRPr="00C61C93">
        <w:rPr>
          <w:i/>
        </w:rPr>
        <w:t xml:space="preserve">contract </w:t>
      </w:r>
      <w:r w:rsidR="00136990" w:rsidRPr="00A2581E">
        <w:rPr>
          <w:i/>
          <w:iCs/>
        </w:rPr>
        <w:t>breach</w:t>
      </w:r>
      <w:r w:rsidR="00136990">
        <w:t xml:space="preserve">, since </w:t>
      </w:r>
      <w:r w:rsidR="00175322">
        <w:t xml:space="preserve">in this view, </w:t>
      </w:r>
      <w:r w:rsidR="00136990">
        <w:t xml:space="preserve">contracts are not enforceable or binding promises but merely </w:t>
      </w:r>
      <w:r>
        <w:t>title transfers—whether gratuitous and unconditional</w:t>
      </w:r>
      <w:r w:rsidR="007156CD">
        <w:t>,</w:t>
      </w:r>
      <w:r>
        <w:t xml:space="preserve"> or </w:t>
      </w:r>
      <w:r w:rsidR="00870434">
        <w:t>mutual and related</w:t>
      </w:r>
      <w:r>
        <w:t xml:space="preserve"> </w:t>
      </w:r>
      <w:r w:rsidR="00870434">
        <w:t xml:space="preserve">conditional </w:t>
      </w:r>
      <w:r w:rsidR="00136990">
        <w:t xml:space="preserve">title </w:t>
      </w:r>
      <w:r>
        <w:t>exchanges</w:t>
      </w:r>
      <w:r w:rsidR="00D11C94">
        <w:t>, or one-way title transfers conditioned on the performance of a service</w:t>
      </w:r>
      <w:r w:rsidR="007C0087">
        <w:t xml:space="preserve"> or some other condition</w:t>
      </w:r>
      <w:r w:rsidR="00B13901">
        <w:t>.</w:t>
      </w:r>
      <w:r w:rsidR="00B13901">
        <w:rPr>
          <w:rStyle w:val="FootnoteReference"/>
        </w:rPr>
        <w:footnoteReference w:id="8"/>
      </w:r>
      <w:r w:rsidR="00B13901">
        <w:t xml:space="preserve"> </w:t>
      </w:r>
      <w:r w:rsidR="00D40B5B">
        <w:t xml:space="preserve">Levasseur </w:t>
      </w:r>
      <w:r w:rsidR="003C34EB">
        <w:t>and</w:t>
      </w:r>
      <w:r w:rsidR="00D40B5B">
        <w:t xml:space="preserve"> Gruning (2015, §2.3.4</w:t>
      </w:r>
      <w:r w:rsidR="006A5746">
        <w:t xml:space="preserve"> </w:t>
      </w:r>
      <w:r w:rsidR="006A5746" w:rsidRPr="006A5746">
        <w:rPr>
          <w:i/>
          <w:iCs/>
        </w:rPr>
        <w:t>et pass</w:t>
      </w:r>
      <w:r w:rsidR="006A5746">
        <w:t>.)</w:t>
      </w:r>
      <w:r w:rsidR="008147CE">
        <w:t xml:space="preserve"> The contract</w:t>
      </w:r>
      <w:r w:rsidR="00870434">
        <w:t xml:space="preserve"> (the</w:t>
      </w:r>
      <w:r w:rsidR="0022302B">
        <w:t xml:space="preserve"> title transfer, or</w:t>
      </w:r>
      <w:r w:rsidR="00870434">
        <w:t xml:space="preserve"> set of related title transfers)</w:t>
      </w:r>
      <w:r w:rsidR="008147CE">
        <w:t xml:space="preserve"> might specify the payment of monetary “damages” if one party fails to perform a certain action</w:t>
      </w:r>
      <w:r w:rsidR="00870434">
        <w:t>—</w:t>
      </w:r>
      <w:r w:rsidR="008147CE">
        <w:t>a so-called “performance bond”</w:t>
      </w:r>
      <w:r w:rsidR="00870434">
        <w:t>—</w:t>
      </w:r>
      <w:r w:rsidR="008147CE">
        <w:t xml:space="preserve">but this is just another title transfer. (Evers 1977, p. 6; Rothbard 1998b, pp. 138–39, Rothbard 2009, </w:t>
      </w:r>
      <w:r w:rsidR="008147CE" w:rsidRPr="00962FFB">
        <w:t>ch</w:t>
      </w:r>
      <w:r w:rsidR="00941D35">
        <w:t>ap</w:t>
      </w:r>
      <w:r w:rsidR="008147CE" w:rsidRPr="00962FFB">
        <w:t>. 2, §13</w:t>
      </w:r>
      <w:r w:rsidR="008147CE">
        <w:t>, pp. 177–79</w:t>
      </w:r>
      <w:r w:rsidR="00233E39">
        <w:t>; see also Barnett 1986b, pp. 180, 190–91, 197–98; 1987, p. 1993; and 1991</w:t>
      </w:r>
      <w:r w:rsidR="00233E39" w:rsidRPr="00567516">
        <w:t xml:space="preserve">, </w:t>
      </w:r>
      <w:r w:rsidR="00233E39">
        <w:t xml:space="preserve">pp. </w:t>
      </w:r>
      <w:r w:rsidR="00233E39" w:rsidRPr="00567516">
        <w:t>159, 162, 171</w:t>
      </w:r>
      <w:r w:rsidR="008147CE">
        <w:t xml:space="preserve">) The concept of “efficient breach” of the law and economics scholars also, in effect, recognizes that the concept of “breach” of contract makes little sense; </w:t>
      </w:r>
      <w:r w:rsidR="00870434">
        <w:t xml:space="preserve">in this view, </w:t>
      </w:r>
      <w:r w:rsidR="008147CE">
        <w:t>the failure to perform</w:t>
      </w:r>
      <w:r w:rsidR="00870434">
        <w:t xml:space="preserve"> some specified action</w:t>
      </w:r>
      <w:r w:rsidR="008147CE">
        <w:t xml:space="preserve"> simply triggers the payment of some monetary payment, or “damages.” </w:t>
      </w:r>
      <w:r w:rsidR="00E73CE1">
        <w:t>(</w:t>
      </w:r>
      <w:r w:rsidR="00DF603E">
        <w:t>Eisen</w:t>
      </w:r>
      <w:r w:rsidR="008147CE">
        <w:t xml:space="preserve">berg 2005, pp. 977–78 </w:t>
      </w:r>
      <w:r w:rsidR="008147CE" w:rsidRPr="0044225C">
        <w:rPr>
          <w:i/>
          <w:iCs/>
        </w:rPr>
        <w:t>et pass</w:t>
      </w:r>
      <w:r w:rsidR="00C82324">
        <w:rPr>
          <w:i/>
          <w:iCs/>
        </w:rPr>
        <w:t>.</w:t>
      </w:r>
      <w:r w:rsidR="00E73CE1">
        <w:t>)</w:t>
      </w:r>
    </w:p>
    <w:bookmarkEnd w:id="50"/>
    <w:bookmarkEnd w:id="51"/>
    <w:p w14:paraId="5B437D34" w14:textId="1E986B09" w:rsidR="008147CE" w:rsidRDefault="008147CE" w:rsidP="00996300">
      <w:pPr>
        <w:spacing w:after="120"/>
        <w:ind w:firstLine="720"/>
      </w:pPr>
      <w:r>
        <w:t>Such conditional title transfers, or performance bonds, could also be employed to ensure that the debtor’s failure to repay a loan</w:t>
      </w:r>
      <w:r w:rsidR="00D24ED9">
        <w:rPr>
          <w:rFonts w:cs="CG Times"/>
        </w:rPr>
        <w:t xml:space="preserve"> does</w:t>
      </w:r>
      <w:r>
        <w:t xml:space="preserve"> not mean that he is off the hook if he happens to </w:t>
      </w:r>
      <w:r w:rsidR="00B2354C">
        <w:t xml:space="preserve">be </w:t>
      </w:r>
      <w:r>
        <w:t xml:space="preserve">insolvent on the due date. Most loan agreements would have backup conditional title transfers (whether implied or explicit) such as “if </w:t>
      </w:r>
      <w:r w:rsidR="00D974F6">
        <w:t xml:space="preserve">the debtor </w:t>
      </w:r>
      <w:r>
        <w:t xml:space="preserve">is unable to pay $1100 on the due </w:t>
      </w:r>
      <w:proofErr w:type="gramStart"/>
      <w:r>
        <w:t>date</w:t>
      </w:r>
      <w:proofErr w:type="gramEnd"/>
      <w:r>
        <w:t xml:space="preserve"> then he hereby transfers $1100 plus interest whenever he acquires sufficient funds/assets.” However, the </w:t>
      </w:r>
      <w:r>
        <w:rPr>
          <w:i/>
          <w:iCs/>
        </w:rPr>
        <w:t>failure</w:t>
      </w:r>
      <w:r>
        <w:t xml:space="preserve"> to pay on the due date, or </w:t>
      </w:r>
      <w:r w:rsidR="00061D2F">
        <w:t xml:space="preserve">on </w:t>
      </w:r>
      <w:r>
        <w:t>later</w:t>
      </w:r>
      <w:r w:rsidR="00061D2F">
        <w:t xml:space="preserve"> due dates</w:t>
      </w:r>
      <w:r>
        <w:t>, is not itself a form of theft, as I discuss</w:t>
      </w:r>
      <w:r w:rsidR="00C66809">
        <w:t xml:space="preserve"> below</w:t>
      </w:r>
      <w:r>
        <w:t>.</w:t>
      </w:r>
      <w:r w:rsidR="00193AA5">
        <w:t xml:space="preserve"> </w:t>
      </w:r>
    </w:p>
    <w:p w14:paraId="2B13995A" w14:textId="4ABA1437" w:rsidR="00193AA5" w:rsidRDefault="00C66809" w:rsidP="00996300">
      <w:pPr>
        <w:spacing w:after="120"/>
        <w:ind w:firstLine="720"/>
      </w:pPr>
      <w:r>
        <w:t xml:space="preserve">In addition to specifying backup conditional title transfers in case the debtor is insolvent on the due date, other conditional title transfers may be employed. For example, some simple </w:t>
      </w:r>
      <w:r>
        <w:lastRenderedPageBreak/>
        <w:t xml:space="preserve">loans may permit the debtor to use the </w:t>
      </w:r>
      <w:r w:rsidR="00536AA1">
        <w:t xml:space="preserve">loaned </w:t>
      </w:r>
      <w:r>
        <w:t xml:space="preserve">money for any purpose, but others may permit only certain </w:t>
      </w:r>
      <w:r w:rsidR="007C3CF1">
        <w:t xml:space="preserve">specified </w:t>
      </w:r>
      <w:r>
        <w:t xml:space="preserve">uses, such as remodeling a restaurant. In this case the loan agreement </w:t>
      </w:r>
      <w:r w:rsidR="00AB7474">
        <w:t>could be structured to</w:t>
      </w:r>
      <w:r>
        <w:t xml:space="preserve"> contain conditional title transfers whereby the title to the loaned funds transfers </w:t>
      </w:r>
      <w:r w:rsidRPr="00396E55">
        <w:t>back</w:t>
      </w:r>
      <w:r>
        <w:t xml:space="preserve"> to the creditor </w:t>
      </w:r>
      <w:proofErr w:type="gramStart"/>
      <w:r>
        <w:t>at the moment</w:t>
      </w:r>
      <w:proofErr w:type="gramEnd"/>
      <w:r>
        <w:t xml:space="preserve"> the debtor attempts to spend the funds </w:t>
      </w:r>
      <w:r w:rsidR="00E86944">
        <w:t>in an impermissible way</w:t>
      </w:r>
      <w:r>
        <w:t xml:space="preserve">, such as gambling. If the borrower </w:t>
      </w:r>
      <w:r w:rsidR="00193AA5">
        <w:t xml:space="preserve">attempts to spend the $1000 on lottery tickets, </w:t>
      </w:r>
      <w:r w:rsidR="00933B2B">
        <w:t xml:space="preserve">for example, </w:t>
      </w:r>
      <w:r w:rsidR="00193AA5">
        <w:t>then title instantly transfers to</w:t>
      </w:r>
      <w:r>
        <w:t xml:space="preserve"> back to the creditor</w:t>
      </w:r>
      <w:r w:rsidR="00DD1EBD">
        <w:t xml:space="preserve">. At this point </w:t>
      </w:r>
      <w:r>
        <w:t xml:space="preserve">the debtor is merely </w:t>
      </w:r>
      <w:r w:rsidR="00193AA5">
        <w:rPr>
          <w:i/>
          <w:iCs/>
        </w:rPr>
        <w:t>in possession of</w:t>
      </w:r>
      <w:r w:rsidR="00193AA5">
        <w:t xml:space="preserve"> money </w:t>
      </w:r>
      <w:r w:rsidR="00193AA5" w:rsidRPr="00C66809">
        <w:rPr>
          <w:i/>
          <w:iCs/>
        </w:rPr>
        <w:t>now owned</w:t>
      </w:r>
      <w:r w:rsidR="00193AA5">
        <w:t xml:space="preserve"> </w:t>
      </w:r>
      <w:r w:rsidR="00B6495F">
        <w:t xml:space="preserve">(once again) </w:t>
      </w:r>
      <w:r w:rsidR="00193AA5">
        <w:t xml:space="preserve">by </w:t>
      </w:r>
      <w:r>
        <w:t xml:space="preserve">the </w:t>
      </w:r>
      <w:proofErr w:type="gramStart"/>
      <w:r>
        <w:t>creditor,</w:t>
      </w:r>
      <w:r w:rsidR="00193AA5">
        <w:t xml:space="preserve"> and</w:t>
      </w:r>
      <w:proofErr w:type="gramEnd"/>
      <w:r w:rsidR="00193AA5">
        <w:t xml:space="preserve"> must return it and not spend it. </w:t>
      </w:r>
      <w:r w:rsidR="00193AA5" w:rsidRPr="00C23900">
        <w:t>I</w:t>
      </w:r>
      <w:r w:rsidR="00193AA5">
        <w:t>f</w:t>
      </w:r>
      <w:r>
        <w:t xml:space="preserve"> at this moment the (former) debtor </w:t>
      </w:r>
      <w:r w:rsidR="00193AA5">
        <w:t>buys lottery tickets he is actually stealing</w:t>
      </w:r>
      <w:r>
        <w:t xml:space="preserve"> the creditor’s </w:t>
      </w:r>
      <w:r w:rsidR="00193AA5">
        <w:t>money—not the future $1100 that is not yet due, but the $1000 held by</w:t>
      </w:r>
      <w:r w:rsidR="009E5B66">
        <w:t xml:space="preserve"> the debtor</w:t>
      </w:r>
      <w:r w:rsidR="009E5B66">
        <w:rPr>
          <w:i/>
          <w:iCs/>
        </w:rPr>
        <w:t xml:space="preserve"> </w:t>
      </w:r>
      <w:r w:rsidR="00193AA5">
        <w:t>but now owned by</w:t>
      </w:r>
      <w:r w:rsidR="009E5B66">
        <w:t xml:space="preserve"> the creditor</w:t>
      </w:r>
      <w:r w:rsidR="00193AA5">
        <w:t xml:space="preserve"> because of the </w:t>
      </w:r>
      <w:r w:rsidR="009E5B66">
        <w:t xml:space="preserve">triggering of the </w:t>
      </w:r>
      <w:r w:rsidR="00193AA5">
        <w:t>conditional title transfer term in the contract.</w:t>
      </w:r>
      <w:r w:rsidR="009E5B66">
        <w:t xml:space="preserve"> Note that this is a case of </w:t>
      </w:r>
      <w:r w:rsidR="009E5B66" w:rsidRPr="00897ACA">
        <w:rPr>
          <w:i/>
          <w:iCs/>
        </w:rPr>
        <w:t>actual theft</w:t>
      </w:r>
      <w:r w:rsidR="009E5B66">
        <w:t xml:space="preserve">, not </w:t>
      </w:r>
      <w:r w:rsidR="00D03F8D">
        <w:t xml:space="preserve">Rothbard’s </w:t>
      </w:r>
      <w:r w:rsidR="009E5B66">
        <w:t>“implicit theft”</w:t>
      </w:r>
      <w:r w:rsidR="006D3203">
        <w:t xml:space="preserve"> discussed below.</w:t>
      </w:r>
    </w:p>
    <w:p w14:paraId="06EFFBBC" w14:textId="2A226DB5" w:rsidR="00D06FF5" w:rsidRPr="00D06FF5" w:rsidRDefault="00FA1D6B" w:rsidP="00996300">
      <w:pPr>
        <w:spacing w:before="360" w:after="120"/>
        <w:rPr>
          <w:i/>
          <w:iCs/>
        </w:rPr>
      </w:pPr>
      <w:r>
        <w:rPr>
          <w:i/>
          <w:iCs/>
        </w:rPr>
        <w:t xml:space="preserve">B. </w:t>
      </w:r>
      <w:r w:rsidR="00D06FF5" w:rsidRPr="00D06FF5">
        <w:rPr>
          <w:i/>
          <w:iCs/>
        </w:rPr>
        <w:t>Consideration and Gift Transfers</w:t>
      </w:r>
    </w:p>
    <w:p w14:paraId="22F46A8F" w14:textId="37B13919" w:rsidR="00136990" w:rsidRDefault="00D24ED9" w:rsidP="00996300">
      <w:pPr>
        <w:spacing w:after="120"/>
        <w:ind w:firstLine="720"/>
        <w:rPr>
          <w:rFonts w:cs="CG Times"/>
        </w:rPr>
      </w:pPr>
      <w:r>
        <w:rPr>
          <w:rFonts w:cs="CG Times"/>
        </w:rPr>
        <w:t xml:space="preserve">Under the </w:t>
      </w:r>
      <w:bookmarkStart w:id="56" w:name="OLE_LINK736"/>
      <w:bookmarkStart w:id="57" w:name="OLE_LINK737"/>
      <w:r>
        <w:rPr>
          <w:rFonts w:cs="CG Times"/>
        </w:rPr>
        <w:t>TTTC</w:t>
      </w:r>
      <w:bookmarkEnd w:id="56"/>
      <w:bookmarkEnd w:id="57"/>
      <w:r w:rsidR="00967DCA">
        <w:rPr>
          <w:rFonts w:cs="CG Times"/>
        </w:rPr>
        <w:t xml:space="preserve">, we can discard with the pointlessly formalistic doctrine of </w:t>
      </w:r>
      <w:proofErr w:type="gramStart"/>
      <w:r w:rsidR="00967DCA">
        <w:rPr>
          <w:rFonts w:cs="CG Times"/>
        </w:rPr>
        <w:t>consideration, and</w:t>
      </w:r>
      <w:proofErr w:type="gramEnd"/>
      <w:r w:rsidR="00967DCA">
        <w:rPr>
          <w:rFonts w:cs="CG Times"/>
        </w:rPr>
        <w:t xml:space="preserve"> </w:t>
      </w:r>
      <w:r w:rsidR="005636BE">
        <w:rPr>
          <w:rFonts w:cs="CG Times"/>
        </w:rPr>
        <w:t xml:space="preserve">easily </w:t>
      </w:r>
      <w:r w:rsidR="00967DCA">
        <w:rPr>
          <w:rFonts w:cs="CG Times"/>
        </w:rPr>
        <w:t>recognize the validity of gratuitous (gift) transfers</w:t>
      </w:r>
      <w:r w:rsidR="001239A2">
        <w:rPr>
          <w:rFonts w:cs="CG Times"/>
        </w:rPr>
        <w:t>, just as civil law systems do</w:t>
      </w:r>
      <w:r w:rsidR="00967DCA">
        <w:rPr>
          <w:rFonts w:cs="CG Times"/>
        </w:rPr>
        <w:t>.</w:t>
      </w:r>
      <w:r w:rsidR="00515069">
        <w:rPr>
          <w:rStyle w:val="FootnoteReference"/>
          <w:rFonts w:cs="CG Times"/>
        </w:rPr>
        <w:footnoteReference w:id="9"/>
      </w:r>
      <w:r w:rsidR="00A46061">
        <w:rPr>
          <w:rFonts w:cs="CG Times"/>
        </w:rPr>
        <w:t xml:space="preserve"> (See, e.g., La. Civ. Code</w:t>
      </w:r>
      <w:r w:rsidR="00CB7F98">
        <w:rPr>
          <w:rFonts w:cs="CG Times"/>
        </w:rPr>
        <w:t xml:space="preserve"> </w:t>
      </w:r>
      <w:r w:rsidR="00CB7F98">
        <w:t>(2024)</w:t>
      </w:r>
      <w:r w:rsidR="00A46061">
        <w:rPr>
          <w:rFonts w:cs="CG Times"/>
        </w:rPr>
        <w:t>, art</w:t>
      </w:r>
      <w:r w:rsidR="00655BAC">
        <w:rPr>
          <w:rFonts w:cs="CG Times"/>
        </w:rPr>
        <w:t>s</w:t>
      </w:r>
      <w:r w:rsidR="00A46061">
        <w:rPr>
          <w:rFonts w:cs="CG Times"/>
        </w:rPr>
        <w:t>. 1468</w:t>
      </w:r>
      <w:r w:rsidR="00326734">
        <w:rPr>
          <w:rFonts w:cs="CG Times"/>
        </w:rPr>
        <w:t xml:space="preserve"> </w:t>
      </w:r>
      <w:r w:rsidR="003C34EB">
        <w:rPr>
          <w:rFonts w:cs="CG Times"/>
        </w:rPr>
        <w:t>and</w:t>
      </w:r>
      <w:r w:rsidR="00655BAC">
        <w:rPr>
          <w:rFonts w:cs="CG Times"/>
        </w:rPr>
        <w:t xml:space="preserve"> 1910</w:t>
      </w:r>
      <w:r w:rsidR="000773F3">
        <w:rPr>
          <w:rFonts w:cs="CG Times"/>
        </w:rPr>
        <w:t xml:space="preserve">; </w:t>
      </w:r>
      <w:r w:rsidR="000773F3">
        <w:t>Levasseur 2010, ch. 1, Art. 2</w:t>
      </w:r>
      <w:r w:rsidR="00A46061">
        <w:rPr>
          <w:rFonts w:cs="CG Times"/>
        </w:rPr>
        <w:t>)</w:t>
      </w:r>
      <w:r w:rsidR="0095296F">
        <w:rPr>
          <w:rFonts w:cs="CG Times"/>
        </w:rPr>
        <w:t xml:space="preserve"> </w:t>
      </w:r>
      <w:r w:rsidR="00D06FF5">
        <w:rPr>
          <w:rFonts w:cs="CG Times"/>
        </w:rPr>
        <w:t xml:space="preserve">Every contract is ultimately </w:t>
      </w:r>
      <w:r w:rsidR="00891EAD">
        <w:rPr>
          <w:rFonts w:cs="CG Times"/>
        </w:rPr>
        <w:t>a</w:t>
      </w:r>
      <w:r w:rsidR="00D06FF5">
        <w:rPr>
          <w:rFonts w:cs="CG Times"/>
        </w:rPr>
        <w:t xml:space="preserve"> transfer of ownership and need not be backed by consideration or be part of an exchange, even though many </w:t>
      </w:r>
      <w:r w:rsidR="00427BE0">
        <w:rPr>
          <w:rFonts w:cs="CG Times"/>
        </w:rPr>
        <w:t xml:space="preserve">contracts will involve </w:t>
      </w:r>
      <w:r w:rsidR="00D06FF5">
        <w:rPr>
          <w:rFonts w:cs="CG Times"/>
        </w:rPr>
        <w:t xml:space="preserve">conditional, mutual title exchanges. </w:t>
      </w:r>
    </w:p>
    <w:p w14:paraId="25B5FA63" w14:textId="4C82E06E" w:rsidR="00865545" w:rsidRPr="00967DCA" w:rsidRDefault="00FA1D6B" w:rsidP="00996300">
      <w:pPr>
        <w:keepNext/>
        <w:spacing w:before="360" w:after="120"/>
        <w:rPr>
          <w:i/>
          <w:iCs/>
        </w:rPr>
      </w:pPr>
      <w:r>
        <w:rPr>
          <w:i/>
          <w:iCs/>
        </w:rPr>
        <w:t xml:space="preserve">C. </w:t>
      </w:r>
      <w:r w:rsidR="00967DCA" w:rsidRPr="00967DCA">
        <w:rPr>
          <w:i/>
          <w:iCs/>
        </w:rPr>
        <w:t>Fraud</w:t>
      </w:r>
    </w:p>
    <w:p w14:paraId="515370B8" w14:textId="6EEFC978" w:rsidR="008A5597" w:rsidRDefault="00D07FF8" w:rsidP="00996300">
      <w:pPr>
        <w:keepNext/>
        <w:spacing w:after="120"/>
        <w:ind w:firstLine="720"/>
      </w:pPr>
      <w:r>
        <w:t xml:space="preserve">Another benefit of the </w:t>
      </w:r>
      <w:r w:rsidR="009C28A6">
        <w:t xml:space="preserve">TTTC </w:t>
      </w:r>
      <w:r>
        <w:t>is that it helps</w:t>
      </w:r>
      <w:r w:rsidR="007E22E5">
        <w:t xml:space="preserve"> make clear w</w:t>
      </w:r>
      <w:r w:rsidR="009C28A6">
        <w:t xml:space="preserve">hy fraud should be viewed as a </w:t>
      </w:r>
      <w:proofErr w:type="spellStart"/>
      <w:r w:rsidR="00A959A3">
        <w:t>a</w:t>
      </w:r>
      <w:proofErr w:type="spellEnd"/>
      <w:r w:rsidR="00A959A3">
        <w:t xml:space="preserve"> crime—in libertarian terms, as a </w:t>
      </w:r>
      <w:r w:rsidR="009C28A6">
        <w:t xml:space="preserve">type of aggression. </w:t>
      </w:r>
      <w:r w:rsidR="003804CA">
        <w:t>L</w:t>
      </w:r>
      <w:r w:rsidR="009C28A6">
        <w:t xml:space="preserve">ibertarians </w:t>
      </w:r>
      <w:r w:rsidR="00DC19D5">
        <w:t>oppose “</w:t>
      </w:r>
      <w:r w:rsidR="009C28A6">
        <w:t xml:space="preserve">not only the initiation of force against the person of someone else (self-ownership) but also </w:t>
      </w:r>
      <w:r w:rsidR="00DC19D5">
        <w:t xml:space="preserve">… </w:t>
      </w:r>
      <w:r w:rsidR="009C28A6">
        <w:t xml:space="preserve">against the </w:t>
      </w:r>
      <w:r w:rsidR="009C28A6" w:rsidRPr="00191156">
        <w:rPr>
          <w:i/>
          <w:iCs/>
        </w:rPr>
        <w:t>property of</w:t>
      </w:r>
      <w:r w:rsidR="009C28A6">
        <w:t xml:space="preserve"> someone else—or </w:t>
      </w:r>
      <w:r w:rsidR="009C28A6" w:rsidRPr="00191156">
        <w:rPr>
          <w:i/>
          <w:iCs/>
        </w:rPr>
        <w:t>threats thereof</w:t>
      </w:r>
      <w:r w:rsidR="009C28A6">
        <w:t xml:space="preserve">, or </w:t>
      </w:r>
      <w:r w:rsidR="009C28A6" w:rsidRPr="00191156">
        <w:rPr>
          <w:i/>
          <w:iCs/>
        </w:rPr>
        <w:t>fraud</w:t>
      </w:r>
      <w:r w:rsidR="009C28A6">
        <w:t xml:space="preserve">.” </w:t>
      </w:r>
      <w:r w:rsidR="00191156">
        <w:t>(</w:t>
      </w:r>
      <w:r w:rsidR="009C28A6">
        <w:t>Kinsella 2023</w:t>
      </w:r>
      <w:r w:rsidR="00CB7F98">
        <w:t>a</w:t>
      </w:r>
      <w:r w:rsidR="009C28A6">
        <w:t xml:space="preserve">, </w:t>
      </w:r>
      <w:r w:rsidR="009A037B">
        <w:t>Part III.E</w:t>
      </w:r>
      <w:r w:rsidR="00191156">
        <w:t>, emphasis added</w:t>
      </w:r>
      <w:r w:rsidR="009C28A6">
        <w:t>)</w:t>
      </w:r>
      <w:r w:rsidR="0041281C">
        <w:t xml:space="preserve"> </w:t>
      </w:r>
      <w:r w:rsidR="0041281C" w:rsidRPr="003804CA">
        <w:t xml:space="preserve">Fraud </w:t>
      </w:r>
      <w:proofErr w:type="gramStart"/>
      <w:r w:rsidR="0041281C" w:rsidRPr="003804CA">
        <w:t>is considered to be</w:t>
      </w:r>
      <w:proofErr w:type="gramEnd"/>
      <w:r w:rsidR="0041281C" w:rsidRPr="003804CA">
        <w:t xml:space="preserve"> a type of aggression since it “involves the appropriation of someone else’s property without his consent</w:t>
      </w:r>
      <w:r w:rsidR="004B2AEB">
        <w:t>.</w:t>
      </w:r>
      <w:r w:rsidR="0041281C">
        <w:t>’</w:t>
      </w:r>
      <w:r w:rsidR="0041281C" w:rsidRPr="003804CA">
        <w:t>” (Rothbard 1998</w:t>
      </w:r>
      <w:r w:rsidR="00CB0765">
        <w:t>d</w:t>
      </w:r>
      <w:r w:rsidR="0041281C" w:rsidRPr="003804CA">
        <w:t>, p. 77)</w:t>
      </w:r>
      <w:r w:rsidR="00191156">
        <w:t xml:space="preserve"> </w:t>
      </w:r>
      <w:r w:rsidR="00A32DE5">
        <w:t>I have explained elsewhere why</w:t>
      </w:r>
      <w:r w:rsidR="00A32DE5" w:rsidRPr="003804CA">
        <w:t xml:space="preserve"> trespass against owned property, and threats, are types of aggression </w:t>
      </w:r>
      <w:r w:rsidR="008A5597" w:rsidRPr="003804CA">
        <w:t xml:space="preserve">(Kinsella </w:t>
      </w:r>
      <w:r w:rsidR="00D61101" w:rsidRPr="003804CA">
        <w:t>2023</w:t>
      </w:r>
      <w:r w:rsidR="00F82CE3">
        <w:t>d</w:t>
      </w:r>
      <w:r w:rsidR="00D61101" w:rsidRPr="003804CA">
        <w:t>, Parts III.F and IV.F).</w:t>
      </w:r>
      <w:r w:rsidR="008A5597" w:rsidRPr="003804CA">
        <w:t xml:space="preserve"> </w:t>
      </w:r>
      <w:r w:rsidR="0041281C">
        <w:t>But why exactly is fraud a type of aggression?</w:t>
      </w:r>
    </w:p>
    <w:p w14:paraId="32D6557E" w14:textId="3F49E809" w:rsidR="00D61101" w:rsidRDefault="00D622F4" w:rsidP="00996300">
      <w:pPr>
        <w:keepNext/>
        <w:spacing w:after="120"/>
        <w:ind w:firstLine="720"/>
      </w:pPr>
      <w:r>
        <w:t>For libertarianism, aggression just means the use of someone’s property without their consent</w:t>
      </w:r>
      <w:r w:rsidR="00F15E78">
        <w:t>—</w:t>
      </w:r>
      <w:r w:rsidR="00974F6B">
        <w:t xml:space="preserve">i.e., </w:t>
      </w:r>
      <w:r w:rsidR="00F15E78">
        <w:t>trespass, or theft</w:t>
      </w:r>
      <w:r>
        <w:t>. In the TTTC, when titles are contractually exchanged, there usually are conditions placed on the transfers, according to the understanding</w:t>
      </w:r>
      <w:r w:rsidR="00C036BD">
        <w:t xml:space="preserve"> of the parties</w:t>
      </w:r>
      <w:r>
        <w:t>, the</w:t>
      </w:r>
      <w:r w:rsidR="00C036BD">
        <w:t>ir</w:t>
      </w:r>
      <w:r>
        <w:t xml:space="preserve"> “meeting of the minds</w:t>
      </w:r>
      <w:r w:rsidR="00C036BD">
        <w:t>.</w:t>
      </w:r>
      <w:r>
        <w:t xml:space="preserve">” </w:t>
      </w:r>
      <w:r w:rsidR="00957FDD">
        <w:t>The conditions specified are communicated via language</w:t>
      </w:r>
      <w:r w:rsidR="00F047D0">
        <w:rPr>
          <w:rFonts w:cs="CG Times"/>
        </w:rPr>
        <w:t xml:space="preserve">, which is </w:t>
      </w:r>
      <w:r w:rsidR="00D61101">
        <w:t>informed by custom and context. For someone to say “yes” or “no” to a use of his body or property, or to consent to transfer title to a resource, communication must be possible (Kinsella 2023</w:t>
      </w:r>
      <w:r w:rsidR="00F82CE3">
        <w:t>a</w:t>
      </w:r>
      <w:r w:rsidR="00D61101">
        <w:t>, Parts II.A and III.A; Kinsella 2023</w:t>
      </w:r>
      <w:r w:rsidR="00F82CE3">
        <w:t>e</w:t>
      </w:r>
      <w:r w:rsidR="00D61101">
        <w:t xml:space="preserve">, pp. </w:t>
      </w:r>
      <w:r w:rsidR="00643903">
        <w:t>289–92</w:t>
      </w:r>
      <w:r w:rsidR="003905B2">
        <w:t>).</w:t>
      </w:r>
    </w:p>
    <w:p w14:paraId="639A8010" w14:textId="613DB3D2" w:rsidR="00D61101" w:rsidRDefault="00DC2BFC" w:rsidP="00996300">
      <w:pPr>
        <w:widowControl w:val="0"/>
        <w:spacing w:after="120"/>
        <w:ind w:firstLine="720"/>
      </w:pPr>
      <w:r>
        <w:t>Now w</w:t>
      </w:r>
      <w:r w:rsidR="00F15E78">
        <w:t xml:space="preserve">hen there is a </w:t>
      </w:r>
      <w:r>
        <w:t xml:space="preserve">mutual, bilateral </w:t>
      </w:r>
      <w:r w:rsidR="00F15E78">
        <w:t>title exchange, each party transfers ownership to his good only if certain conditions are met, such as the nature and qualities of the other party’s good, as specified by the parties’ communications with each other—the contract.</w:t>
      </w:r>
      <w:r>
        <w:t xml:space="preserve"> </w:t>
      </w:r>
      <w:r w:rsidR="00D61101">
        <w:t>For example</w:t>
      </w:r>
      <w:r w:rsidR="001E161A">
        <w:t>,</w:t>
      </w:r>
      <w:r w:rsidR="00D61101">
        <w:t xml:space="preserve"> suppose </w:t>
      </w:r>
      <w:r w:rsidR="00D61101">
        <w:rPr>
          <w:i/>
          <w:iCs/>
        </w:rPr>
        <w:t>A</w:t>
      </w:r>
      <w:r w:rsidR="00D61101">
        <w:t xml:space="preserve"> wants to sell his apples to </w:t>
      </w:r>
      <w:r w:rsidR="00D61101">
        <w:rPr>
          <w:i/>
          <w:iCs/>
        </w:rPr>
        <w:t xml:space="preserve">B </w:t>
      </w:r>
      <w:r w:rsidR="00D61101">
        <w:t xml:space="preserve">in exchange for </w:t>
      </w:r>
      <w:r w:rsidR="00D61101">
        <w:rPr>
          <w:i/>
          <w:iCs/>
        </w:rPr>
        <w:t>B</w:t>
      </w:r>
      <w:r w:rsidR="00D61101">
        <w:t xml:space="preserve">’s bananas. In this case, each transfer is made </w:t>
      </w:r>
      <w:r w:rsidR="00D61101">
        <w:lastRenderedPageBreak/>
        <w:t>conditional upon certain conditions being the case</w:t>
      </w:r>
      <w:r w:rsidR="006766E8">
        <w:t xml:space="preserve">—that </w:t>
      </w:r>
      <w:r w:rsidR="00D61101">
        <w:t>the apples are supposed to be fresh, real apples</w:t>
      </w:r>
      <w:r w:rsidR="00144DF5">
        <w:t>, for example</w:t>
      </w:r>
      <w:r w:rsidR="00967DCA">
        <w:t xml:space="preserve">. The title to </w:t>
      </w:r>
      <w:r w:rsidR="001E47E5">
        <w:rPr>
          <w:i/>
          <w:iCs/>
        </w:rPr>
        <w:t>B</w:t>
      </w:r>
      <w:r w:rsidR="001E47E5">
        <w:t>’s bananas</w:t>
      </w:r>
      <w:r w:rsidR="00967DCA">
        <w:t xml:space="preserve"> transfers</w:t>
      </w:r>
      <w:r w:rsidR="001E47E5">
        <w:t xml:space="preserve"> to </w:t>
      </w:r>
      <w:r w:rsidR="001E47E5">
        <w:rPr>
          <w:i/>
          <w:iCs/>
        </w:rPr>
        <w:t>A</w:t>
      </w:r>
      <w:r w:rsidR="00967DCA">
        <w:t xml:space="preserve"> </w:t>
      </w:r>
      <w:r w:rsidR="00967DCA" w:rsidRPr="001E47E5">
        <w:t>only</w:t>
      </w:r>
      <w:r w:rsidR="00967DCA">
        <w:t xml:space="preserve"> if this </w:t>
      </w:r>
      <w:r w:rsidR="001E47E5">
        <w:t>condition is met</w:t>
      </w:r>
      <w:r w:rsidR="00967DCA">
        <w:t xml:space="preserve">. If </w:t>
      </w:r>
      <w:r w:rsidR="00690B55" w:rsidRPr="00690B55">
        <w:rPr>
          <w:i/>
          <w:iCs/>
        </w:rPr>
        <w:t>A</w:t>
      </w:r>
      <w:r w:rsidR="00690B55">
        <w:t xml:space="preserve"> </w:t>
      </w:r>
      <w:r w:rsidR="00967DCA">
        <w:t xml:space="preserve">knowingly </w:t>
      </w:r>
      <w:r w:rsidR="002F575F">
        <w:t>g</w:t>
      </w:r>
      <w:r w:rsidR="00967DCA">
        <w:t xml:space="preserve">ives rotten apples </w:t>
      </w:r>
      <w:r w:rsidR="00690B55">
        <w:t xml:space="preserve">to </w:t>
      </w:r>
      <w:r w:rsidR="00690B55">
        <w:rPr>
          <w:i/>
          <w:iCs/>
        </w:rPr>
        <w:t xml:space="preserve">B </w:t>
      </w:r>
      <w:r w:rsidR="00967DCA">
        <w:t xml:space="preserve">and runs off with </w:t>
      </w:r>
      <w:r w:rsidR="00690B55">
        <w:t>the bananas</w:t>
      </w:r>
      <w:r w:rsidR="00967DCA">
        <w:t xml:space="preserve">, he is now in possession of stolen goods since </w:t>
      </w:r>
      <w:r w:rsidR="00690B55" w:rsidRPr="00690B55">
        <w:rPr>
          <w:i/>
          <w:iCs/>
        </w:rPr>
        <w:t>B</w:t>
      </w:r>
      <w:r w:rsidR="00690B55">
        <w:t>’</w:t>
      </w:r>
      <w:r w:rsidR="00967DCA">
        <w:t xml:space="preserve">s consent was conditional on </w:t>
      </w:r>
      <w:r w:rsidR="00690B55" w:rsidRPr="00690B55">
        <w:rPr>
          <w:i/>
          <w:iCs/>
        </w:rPr>
        <w:t>A</w:t>
      </w:r>
      <w:r w:rsidR="00690B55">
        <w:t xml:space="preserve"> </w:t>
      </w:r>
      <w:r w:rsidR="00967DCA">
        <w:t>giving him good</w:t>
      </w:r>
      <w:r w:rsidR="00690B55">
        <w:t>, real</w:t>
      </w:r>
      <w:r w:rsidR="00967DCA">
        <w:t xml:space="preserve"> apples</w:t>
      </w:r>
      <w:r w:rsidR="00972EB3">
        <w:t>,</w:t>
      </w:r>
      <w:r w:rsidR="00967DCA">
        <w:t xml:space="preserve"> acting in good faith, and so on.</w:t>
      </w:r>
      <w:r w:rsidR="002F575F">
        <w:rPr>
          <w:rStyle w:val="FootnoteReference"/>
        </w:rPr>
        <w:footnoteReference w:id="10"/>
      </w:r>
      <w:r w:rsidR="00ED69CD">
        <w:t xml:space="preserve"> As I note in Kinsella (2023</w:t>
      </w:r>
      <w:r w:rsidR="00F82CE3">
        <w:t>a</w:t>
      </w:r>
      <w:r w:rsidR="00ED69CD">
        <w:t>, p. 238), “</w:t>
      </w:r>
      <w:r w:rsidR="00ED69CD" w:rsidRPr="00ED69CD">
        <w:t>This is akin to the legal notion of larceny by trick.</w:t>
      </w:r>
      <w:r w:rsidR="00ED69CD">
        <w:rPr>
          <w:i/>
          <w:iCs/>
        </w:rPr>
        <w:t>”</w:t>
      </w:r>
      <w:r w:rsidR="00972EB3">
        <w:t xml:space="preserve"> </w:t>
      </w:r>
      <w:r w:rsidR="00D61101">
        <w:t xml:space="preserve">(Note: this case is not comparable to a debtor being </w:t>
      </w:r>
      <w:r w:rsidR="00D61101" w:rsidRPr="0074004F">
        <w:rPr>
          <w:i/>
          <w:iCs/>
        </w:rPr>
        <w:t>unable</w:t>
      </w:r>
      <w:r w:rsidR="00D61101">
        <w:t xml:space="preserve"> to repay his debt later, since being unable to repay does not imply any misrepresentation; moreover, being insolvent is a status, not an action.)</w:t>
      </w:r>
    </w:p>
    <w:p w14:paraId="3D9980E5" w14:textId="544681C5" w:rsidR="00D61101" w:rsidRPr="00C31C0D" w:rsidRDefault="00D61101" w:rsidP="00996300">
      <w:pPr>
        <w:widowControl w:val="0"/>
        <w:spacing w:after="120"/>
        <w:ind w:firstLine="720"/>
      </w:pPr>
      <w:r>
        <w:t xml:space="preserve">In short, the TTTC, combined with a libertarian understanding of property </w:t>
      </w:r>
      <w:r w:rsidR="00F047D0">
        <w:rPr>
          <w:rFonts w:cs="CG Times"/>
        </w:rPr>
        <w:t>rights</w:t>
      </w:r>
      <w:r>
        <w:t xml:space="preserve">, explains why fraud may be prohibited, and is a type of aggression: because the defrauder is using a resource owned by the defrauded party without his consent. </w:t>
      </w:r>
    </w:p>
    <w:p w14:paraId="1A1C996F" w14:textId="1307E96B" w:rsidR="00AA6567" w:rsidRPr="006D3F9A" w:rsidRDefault="00381658" w:rsidP="003530F9">
      <w:pPr>
        <w:spacing w:before="360" w:after="120"/>
        <w:jc w:val="center"/>
        <w:rPr>
          <w:rFonts w:cs="CG Times"/>
          <w:b/>
          <w:bCs/>
        </w:rPr>
      </w:pPr>
      <w:r>
        <w:rPr>
          <w:rFonts w:cs="CG Times"/>
          <w:b/>
          <w:bCs/>
        </w:rPr>
        <w:t xml:space="preserve">V. </w:t>
      </w:r>
      <w:r w:rsidR="00AA6567" w:rsidRPr="006D3F9A">
        <w:rPr>
          <w:rFonts w:cs="CG Times"/>
          <w:b/>
          <w:bCs/>
        </w:rPr>
        <w:t>Property Rights and Contractual Title Transfer</w:t>
      </w:r>
    </w:p>
    <w:p w14:paraId="3624680F" w14:textId="18528734" w:rsidR="00175121" w:rsidRPr="007A22FB" w:rsidRDefault="00AA6567" w:rsidP="00996300">
      <w:pPr>
        <w:spacing w:after="120"/>
        <w:ind w:firstLine="720"/>
        <w:rPr>
          <w:rFonts w:cs="CG Times"/>
        </w:rPr>
      </w:pPr>
      <w:r>
        <w:t xml:space="preserve">Why can </w:t>
      </w:r>
      <w:r w:rsidR="00F047D0">
        <w:rPr>
          <w:rFonts w:cs="CG Times"/>
        </w:rPr>
        <w:t xml:space="preserve">the owner </w:t>
      </w:r>
      <w:r>
        <w:t xml:space="preserve">agree to </w:t>
      </w:r>
      <w:r w:rsidR="002914D6">
        <w:t xml:space="preserve">title </w:t>
      </w:r>
      <w:r>
        <w:t>transfer</w:t>
      </w:r>
      <w:r w:rsidR="002914D6">
        <w:t>s</w:t>
      </w:r>
      <w:r>
        <w:t xml:space="preserve">? Because “[t]he right of property implies the right to make contracts about that property: to give it away or to exchange titles of ownership for the property of another person.” (Rothbard </w:t>
      </w:r>
      <w:bookmarkStart w:id="60" w:name="OLE_LINK691"/>
      <w:bookmarkStart w:id="61" w:name="OLE_LINK692"/>
      <w:r>
        <w:t>1998b, p. 133</w:t>
      </w:r>
      <w:bookmarkEnd w:id="60"/>
      <w:bookmarkEnd w:id="61"/>
      <w:r>
        <w:t xml:space="preserve">) </w:t>
      </w:r>
    </w:p>
    <w:p w14:paraId="72C4CED2" w14:textId="7EA55325" w:rsidR="00544C79" w:rsidRPr="001B4A19" w:rsidRDefault="00353F75" w:rsidP="00996300">
      <w:pPr>
        <w:spacing w:after="120"/>
        <w:ind w:firstLine="720"/>
      </w:pPr>
      <w:r>
        <w:t xml:space="preserve">This property right, this right of ownership, is </w:t>
      </w:r>
      <w:r w:rsidR="00AA6567">
        <w:t xml:space="preserve">sufficient to explain </w:t>
      </w:r>
      <w:r>
        <w:t xml:space="preserve">why </w:t>
      </w:r>
      <w:r w:rsidR="00AA6567">
        <w:t xml:space="preserve">the owner of a thing may, by consent, transfer it to another. </w:t>
      </w:r>
      <w:r w:rsidR="00BE4230">
        <w:t>A</w:t>
      </w:r>
      <w:r w:rsidR="00544C79">
        <w:t xml:space="preserve">s ownership is essentially the </w:t>
      </w:r>
      <w:r w:rsidR="00544C79" w:rsidRPr="001C37B5">
        <w:rPr>
          <w:i/>
          <w:iCs/>
        </w:rPr>
        <w:t>right to exclude</w:t>
      </w:r>
      <w:r w:rsidR="00544C79">
        <w:t xml:space="preserve"> (Kinsella 2023</w:t>
      </w:r>
      <w:r w:rsidR="00DB1A3C">
        <w:t>b</w:t>
      </w:r>
      <w:r w:rsidR="00544C79">
        <w:t>, App. I, 2023</w:t>
      </w:r>
      <w:r w:rsidR="00DB1A3C">
        <w:t>a</w:t>
      </w:r>
      <w:r w:rsidR="00544C79">
        <w:t xml:space="preserve">, p. 204 n.1), the owner of a resource </w:t>
      </w:r>
      <w:r w:rsidR="00E447DB">
        <w:t xml:space="preserve">has </w:t>
      </w:r>
      <w:r w:rsidR="00544C79">
        <w:t xml:space="preserve">the right to permit or exclude people from using it. This right to exclude is an </w:t>
      </w:r>
      <w:r w:rsidR="00544C79" w:rsidRPr="000D31FD">
        <w:rPr>
          <w:i/>
          <w:iCs/>
        </w:rPr>
        <w:t>incident of ownership</w:t>
      </w:r>
      <w:r w:rsidR="001B4A19">
        <w:t xml:space="preserve">; it is what is </w:t>
      </w:r>
      <w:r w:rsidR="001B4A19">
        <w:rPr>
          <w:i/>
          <w:iCs/>
        </w:rPr>
        <w:t>means</w:t>
      </w:r>
      <w:r w:rsidR="001B4A19">
        <w:t xml:space="preserve"> to own something.</w:t>
      </w:r>
    </w:p>
    <w:p w14:paraId="3CD35A1D" w14:textId="63BE12AA" w:rsidR="00DA018E" w:rsidRDefault="005C16E4" w:rsidP="00996300">
      <w:pPr>
        <w:spacing w:after="120"/>
        <w:ind w:firstLine="720"/>
      </w:pPr>
      <w:r>
        <w:t xml:space="preserve">The grant of </w:t>
      </w:r>
      <w:r w:rsidR="00544C79">
        <w:t xml:space="preserve">consent </w:t>
      </w:r>
      <w:r>
        <w:t xml:space="preserve">or permission </w:t>
      </w:r>
      <w:r w:rsidR="00544C79">
        <w:t>to use</w:t>
      </w:r>
      <w:r>
        <w:t xml:space="preserve"> </w:t>
      </w:r>
      <w:r w:rsidR="00544C79">
        <w:t xml:space="preserve">can be </w:t>
      </w:r>
      <w:r w:rsidR="00544C79" w:rsidRPr="00295D70">
        <w:rPr>
          <w:i/>
          <w:iCs/>
        </w:rPr>
        <w:t>temporary</w:t>
      </w:r>
      <w:r w:rsidR="005A6D90">
        <w:t xml:space="preserve">, as in inviting a dinner guest to your home or allowing a friend to borrow your car, </w:t>
      </w:r>
      <w:r w:rsidR="00544C79">
        <w:t xml:space="preserve">in which case the owner maintains ownership and eventually regains possession, or it can be </w:t>
      </w:r>
      <w:r w:rsidR="00544C79" w:rsidRPr="00295D70">
        <w:rPr>
          <w:i/>
          <w:iCs/>
        </w:rPr>
        <w:t>permanent</w:t>
      </w:r>
      <w:r w:rsidR="00544C79">
        <w:t xml:space="preserve"> in which case title is transferred. </w:t>
      </w:r>
      <w:r w:rsidR="004E64F7">
        <w:t xml:space="preserve">In effect, a </w:t>
      </w:r>
      <w:r w:rsidR="00763970">
        <w:t xml:space="preserve">title </w:t>
      </w:r>
      <w:r w:rsidR="004E64F7">
        <w:t xml:space="preserve">transfer is a means of </w:t>
      </w:r>
      <w:r w:rsidR="004E64F7" w:rsidRPr="00A1697B">
        <w:rPr>
          <w:i/>
          <w:iCs/>
        </w:rPr>
        <w:t>abandoning ownership</w:t>
      </w:r>
      <w:r w:rsidR="004E64F7">
        <w:t xml:space="preserve"> of a thing </w:t>
      </w:r>
      <w:r w:rsidR="004E64F7" w:rsidRPr="00845BD7">
        <w:rPr>
          <w:i/>
          <w:iCs/>
        </w:rPr>
        <w:t>in favor of</w:t>
      </w:r>
      <w:r w:rsidR="004E64F7">
        <w:t xml:space="preserve"> the transferee.</w:t>
      </w:r>
      <w:r w:rsidR="004E64F7">
        <w:rPr>
          <w:rStyle w:val="FootnoteReference"/>
        </w:rPr>
        <w:footnoteReference w:id="11"/>
      </w:r>
      <w:r w:rsidR="004E64F7">
        <w:t xml:space="preserve"> </w:t>
      </w:r>
      <w:r w:rsidR="00CA3FA7">
        <w:t>Thus, the right to exclude (property rights, ownership) implies the right to transfer (contract).</w:t>
      </w:r>
      <w:r w:rsidR="00CA3FA7" w:rsidRPr="00CA3FA7">
        <w:t xml:space="preserve"> </w:t>
      </w:r>
      <w:r w:rsidR="00CA3FA7">
        <w:t>The right to contract</w:t>
      </w:r>
      <w:r w:rsidR="002F6115">
        <w:t>, to transfer title,</w:t>
      </w:r>
      <w:r w:rsidR="00CA3FA7">
        <w:t xml:space="preserve"> is simply an implication of the (more fundamental) right of ownership.</w:t>
      </w:r>
    </w:p>
    <w:p w14:paraId="6428E506" w14:textId="1F7430A3" w:rsidR="008E77C9" w:rsidRDefault="00340578" w:rsidP="00996300">
      <w:pPr>
        <w:spacing w:after="120"/>
        <w:ind w:firstLine="720"/>
      </w:pPr>
      <w:r>
        <w:t>A</w:t>
      </w:r>
      <w:r w:rsidR="00060C3B">
        <w:t xml:space="preserve"> </w:t>
      </w:r>
      <w:r w:rsidR="00C82A19">
        <w:t xml:space="preserve">title </w:t>
      </w:r>
      <w:r w:rsidR="00544C79">
        <w:t>transfer can be made unconditional, as in the case of a gift; or it can be made conditional on some future event</w:t>
      </w:r>
      <w:r w:rsidR="00C22443">
        <w:t xml:space="preserve"> (such as the </w:t>
      </w:r>
      <w:r w:rsidR="00C902D4">
        <w:t>performance</w:t>
      </w:r>
      <w:r w:rsidR="00C22443">
        <w:t xml:space="preserve"> of a service by the party to be paid) </w:t>
      </w:r>
      <w:r w:rsidR="00544C79">
        <w:t>or condition or reciprocal (present or future) title transfer.</w:t>
      </w:r>
      <w:r w:rsidR="00A34F88">
        <w:t xml:space="preserve"> </w:t>
      </w:r>
      <w:r w:rsidR="008E77C9">
        <w:t xml:space="preserve">It can be simple, or it can be complicated. </w:t>
      </w:r>
    </w:p>
    <w:p w14:paraId="5E33BFEE" w14:textId="2C258B9B" w:rsidR="005528EE" w:rsidRDefault="00544C79" w:rsidP="00996300">
      <w:pPr>
        <w:spacing w:after="120"/>
        <w:ind w:firstLine="720"/>
      </w:pPr>
      <w:r>
        <w:t>Once title is transferred, the (new) owner can retrieve possession of his property using property law, if necessary</w:t>
      </w:r>
      <w:r w:rsidR="006802D2">
        <w:t>. F</w:t>
      </w:r>
      <w:r>
        <w:t>or example</w:t>
      </w:r>
      <w:r w:rsidR="00BD37F6">
        <w:t>,</w:t>
      </w:r>
      <w:r>
        <w:t xml:space="preserve"> if it is currently held by the previous owner and he</w:t>
      </w:r>
      <w:r w:rsidR="00C35514">
        <w:t xml:space="preserve"> </w:t>
      </w:r>
      <w:r>
        <w:t>refuses to allow the new owner to take it</w:t>
      </w:r>
      <w:r w:rsidR="006802D2">
        <w:t xml:space="preserve">, </w:t>
      </w:r>
      <w:r w:rsidR="006529BD">
        <w:t>this is actual</w:t>
      </w:r>
      <w:r w:rsidR="00A44368">
        <w:t xml:space="preserve"> theft</w:t>
      </w:r>
      <w:r w:rsidR="006529BD">
        <w:t xml:space="preserve"> </w:t>
      </w:r>
      <w:r w:rsidR="00A44368">
        <w:t>(</w:t>
      </w:r>
      <w:r w:rsidR="006529BD">
        <w:t>not implicit theft</w:t>
      </w:r>
      <w:r w:rsidR="00A44368">
        <w:t xml:space="preserve">, which is </w:t>
      </w:r>
      <w:r w:rsidR="00B11B63">
        <w:t xml:space="preserve">discussed in the </w:t>
      </w:r>
      <w:r w:rsidR="00A44368">
        <w:lastRenderedPageBreak/>
        <w:t xml:space="preserve">following </w:t>
      </w:r>
      <w:r w:rsidR="00B11B63">
        <w:t>section)</w:t>
      </w:r>
      <w:r w:rsidR="007E42E3">
        <w:t xml:space="preserve">. </w:t>
      </w:r>
      <w:r w:rsidR="00C36833">
        <w:t>Thus, a</w:t>
      </w:r>
      <w:r>
        <w:t xml:space="preserve"> contract </w:t>
      </w:r>
      <w:r w:rsidR="00512453">
        <w:t xml:space="preserve">can </w:t>
      </w:r>
      <w:r>
        <w:t>change the owner of a resource, at which point the new owner can use property rights to enforce his ownership.</w:t>
      </w:r>
    </w:p>
    <w:p w14:paraId="26F59916" w14:textId="254195DB" w:rsidR="00175121" w:rsidRPr="007E42E3" w:rsidRDefault="00381658" w:rsidP="003530F9">
      <w:pPr>
        <w:keepNext/>
        <w:spacing w:before="360" w:after="120"/>
        <w:jc w:val="center"/>
        <w:rPr>
          <w:b/>
        </w:rPr>
      </w:pPr>
      <w:r>
        <w:rPr>
          <w:b/>
        </w:rPr>
        <w:t xml:space="preserve">VI. </w:t>
      </w:r>
      <w:r w:rsidR="003105C2" w:rsidRPr="007E42E3">
        <w:rPr>
          <w:b/>
        </w:rPr>
        <w:t>Implicit Theft</w:t>
      </w:r>
    </w:p>
    <w:p w14:paraId="394E6E41" w14:textId="12E3F74F" w:rsidR="008A7FCD" w:rsidRDefault="00F1280A" w:rsidP="00996300">
      <w:pPr>
        <w:spacing w:after="120"/>
        <w:ind w:firstLine="720"/>
      </w:pPr>
      <w:r>
        <w:t xml:space="preserve">In their criticism of previous theories of contract, Rothbard (1998b, p. 141) and Evers (1977, p. 6) maintain that a “mere promise”—called </w:t>
      </w:r>
      <w:r w:rsidRPr="00E75F65">
        <w:rPr>
          <w:i/>
          <w:iCs/>
        </w:rPr>
        <w:t>nudum pactum</w:t>
      </w:r>
      <w:r>
        <w:t xml:space="preserve"> in the Roman law—is not enforceable, but an agreement to transfer resources by contract should be.</w:t>
      </w:r>
      <w:r w:rsidR="00197369">
        <w:t xml:space="preserve"> As noted in the preceding section, the right and capacity to transfer </w:t>
      </w:r>
      <w:r w:rsidR="00BA3A13">
        <w:t xml:space="preserve">resources </w:t>
      </w:r>
      <w:r w:rsidR="007A2960">
        <w:t>are</w:t>
      </w:r>
      <w:r w:rsidR="00BA3A13">
        <w:t xml:space="preserve"> </w:t>
      </w:r>
      <w:r w:rsidR="00427B3E">
        <w:t xml:space="preserve">fully </w:t>
      </w:r>
      <w:r w:rsidR="00BA3A13">
        <w:t>explained by the inherent rights of ownership.</w:t>
      </w:r>
    </w:p>
    <w:p w14:paraId="2D0E25DD" w14:textId="5A33E33D" w:rsidR="003D0D7C" w:rsidRDefault="00BB03CC" w:rsidP="00996300">
      <w:pPr>
        <w:spacing w:after="120"/>
        <w:ind w:firstLine="720"/>
      </w:pPr>
      <w:r>
        <w:t xml:space="preserve">Yet </w:t>
      </w:r>
      <w:r w:rsidR="007A49C6">
        <w:t xml:space="preserve">Rothbard </w:t>
      </w:r>
      <w:r w:rsidR="00BA3A13">
        <w:t xml:space="preserve">introduces </w:t>
      </w:r>
      <w:r w:rsidR="00C8162E">
        <w:t xml:space="preserve">the </w:t>
      </w:r>
      <w:r>
        <w:t xml:space="preserve">confusing </w:t>
      </w:r>
      <w:r w:rsidR="00C8162E">
        <w:t xml:space="preserve">concept </w:t>
      </w:r>
      <w:r w:rsidR="007A49C6">
        <w:t xml:space="preserve">of “implicit theft” </w:t>
      </w:r>
      <w:proofErr w:type="gramStart"/>
      <w:r w:rsidR="00980223">
        <w:t xml:space="preserve">in an attempt </w:t>
      </w:r>
      <w:r w:rsidR="007A49C6">
        <w:t>to</w:t>
      </w:r>
      <w:proofErr w:type="gramEnd"/>
      <w:r w:rsidR="007A49C6">
        <w:t xml:space="preserve"> explain </w:t>
      </w:r>
      <w:r w:rsidR="00256636">
        <w:t>why</w:t>
      </w:r>
      <w:r w:rsidR="007A49C6">
        <w:t xml:space="preserve"> contracts are </w:t>
      </w:r>
      <w:r w:rsidR="005B1D6B">
        <w:t>enforceable</w:t>
      </w:r>
      <w:r w:rsidR="00256636">
        <w:t xml:space="preserve"> when mere promises are not</w:t>
      </w:r>
      <w:r w:rsidR="009531BB">
        <w:t xml:space="preserve"> (Evers does not)</w:t>
      </w:r>
      <w:r w:rsidR="00256636">
        <w:t xml:space="preserve">. </w:t>
      </w:r>
      <w:r w:rsidR="001D51C5">
        <w:t xml:space="preserve">As he </w:t>
      </w:r>
      <w:r w:rsidR="001D51C5">
        <w:rPr>
          <w:sz w:val="22"/>
          <w:szCs w:val="22"/>
        </w:rPr>
        <w:t>writes:</w:t>
      </w:r>
    </w:p>
    <w:p w14:paraId="5CDF76F9" w14:textId="37DB0717" w:rsidR="003D0D7C" w:rsidRPr="003D0D7C" w:rsidRDefault="001D51C5" w:rsidP="00996300">
      <w:pPr>
        <w:keepNext/>
        <w:spacing w:after="120"/>
        <w:ind w:left="900" w:right="900"/>
        <w:rPr>
          <w:sz w:val="22"/>
          <w:szCs w:val="22"/>
        </w:rPr>
      </w:pPr>
      <w:r w:rsidRPr="001D51C5">
        <w:rPr>
          <w:sz w:val="22"/>
          <w:szCs w:val="22"/>
        </w:rPr>
        <w:t>the right to contract is strictly derivable from the right of private</w:t>
      </w:r>
      <w:r>
        <w:rPr>
          <w:sz w:val="22"/>
          <w:szCs w:val="22"/>
        </w:rPr>
        <w:t xml:space="preserve"> </w:t>
      </w:r>
      <w:r w:rsidRPr="001D51C5">
        <w:rPr>
          <w:sz w:val="22"/>
          <w:szCs w:val="22"/>
        </w:rPr>
        <w:t xml:space="preserve">property, and therefore </w:t>
      </w:r>
      <w:r>
        <w:rPr>
          <w:sz w:val="22"/>
          <w:szCs w:val="22"/>
        </w:rPr>
        <w:t xml:space="preserve">… </w:t>
      </w:r>
      <w:r w:rsidR="003D0D7C" w:rsidRPr="003D0D7C">
        <w:rPr>
          <w:sz w:val="22"/>
          <w:szCs w:val="22"/>
        </w:rPr>
        <w:t xml:space="preserve">the only enforceable contracts </w:t>
      </w:r>
      <w:r>
        <w:rPr>
          <w:sz w:val="22"/>
          <w:szCs w:val="22"/>
        </w:rPr>
        <w:t>…</w:t>
      </w:r>
      <w:r w:rsidR="003D0D7C" w:rsidRPr="003D0D7C">
        <w:rPr>
          <w:sz w:val="22"/>
          <w:szCs w:val="22"/>
        </w:rPr>
        <w:t xml:space="preserve"> should be those where the failure of one party to abide by the contract implies the theft of property from the other party. In short, a contract should only be enforceable when the failure to fulfill it is an implicit theft of property. But this can only be true if we hold that validly enforceable contracts only exist where title to property has already been transferred, and therefore where the failure to abide by the contract means that the other party’s property is retained by the delinquent party, without the consent of the former (implicit theft).</w:t>
      </w:r>
      <w:r w:rsidR="002F31D8">
        <w:rPr>
          <w:sz w:val="22"/>
          <w:szCs w:val="22"/>
        </w:rPr>
        <w:t xml:space="preserve"> (Rothbard </w:t>
      </w:r>
      <w:r w:rsidR="00FC66CC">
        <w:t>1998b, p. 133</w:t>
      </w:r>
      <w:r w:rsidR="002F31D8">
        <w:rPr>
          <w:sz w:val="22"/>
          <w:szCs w:val="22"/>
        </w:rPr>
        <w:t>)</w:t>
      </w:r>
    </w:p>
    <w:p w14:paraId="3A8B9EC8" w14:textId="68ABCF06" w:rsidR="003D0D7C" w:rsidRDefault="000A2830" w:rsidP="00996300">
      <w:pPr>
        <w:keepNext/>
        <w:spacing w:after="120"/>
        <w:ind w:firstLine="720"/>
      </w:pPr>
      <w:r>
        <w:t xml:space="preserve">But </w:t>
      </w:r>
      <w:r w:rsidR="007945D3">
        <w:t>as noted above, the right</w:t>
      </w:r>
      <w:r w:rsidR="005F695E">
        <w:t xml:space="preserve"> or ability</w:t>
      </w:r>
      <w:r w:rsidR="007945D3">
        <w:t xml:space="preserve"> to contract is just an implication of ownership or property rights.  C</w:t>
      </w:r>
      <w:r w:rsidR="001D51C5">
        <w:t xml:space="preserve">ontracts </w:t>
      </w:r>
      <w:r w:rsidR="003D0D7C">
        <w:t xml:space="preserve">are not enforceable because </w:t>
      </w:r>
      <w:r w:rsidR="007945D3">
        <w:t>“</w:t>
      </w:r>
      <w:r w:rsidR="003D0D7C">
        <w:t>failure to perform is implicit theft</w:t>
      </w:r>
      <w:r w:rsidR="007945D3">
        <w:t>”</w:t>
      </w:r>
      <w:r w:rsidR="001D51C5">
        <w:t>;</w:t>
      </w:r>
      <w:r w:rsidR="003D0D7C">
        <w:t xml:space="preserve"> and failure to </w:t>
      </w:r>
      <w:r w:rsidR="0081798F">
        <w:t xml:space="preserve">perform </w:t>
      </w:r>
      <w:r w:rsidR="003D0D7C">
        <w:t>does not always imply theft</w:t>
      </w:r>
      <w:r w:rsidR="001D51C5">
        <w:t>.</w:t>
      </w:r>
      <w:r w:rsidR="003D0D7C">
        <w:t xml:space="preserve"> The concept of implicit theft is confused</w:t>
      </w:r>
      <w:r w:rsidR="001D51C5">
        <w:t xml:space="preserve"> and is not needed to explain contractual title transfers.</w:t>
      </w:r>
      <w:r w:rsidR="003D0D7C">
        <w:t xml:space="preserve"> </w:t>
      </w:r>
      <w:r w:rsidR="00161242">
        <w:t>T</w:t>
      </w:r>
      <w:r w:rsidR="003D0D7C">
        <w:t xml:space="preserve">here is </w:t>
      </w:r>
      <w:r w:rsidR="00CC370D">
        <w:t xml:space="preserve">no </w:t>
      </w:r>
      <w:r w:rsidR="003D0D7C">
        <w:t>such thing as implicit theft</w:t>
      </w:r>
      <w:r w:rsidR="00AC1C2A">
        <w:t xml:space="preserve">, nor </w:t>
      </w:r>
      <w:r w:rsidR="00E16874">
        <w:t>does Rothbard</w:t>
      </w:r>
      <w:r w:rsidR="00AC1C2A">
        <w:t xml:space="preserve"> ever fully define or justif</w:t>
      </w:r>
      <w:r w:rsidR="00E16874">
        <w:t>y this concept</w:t>
      </w:r>
      <w:r w:rsidR="003D0D7C">
        <w:t>.</w:t>
      </w:r>
    </w:p>
    <w:p w14:paraId="51B019BE" w14:textId="38487D36" w:rsidR="005946BB" w:rsidRDefault="008E67FE" w:rsidP="00996300">
      <w:pPr>
        <w:keepNext/>
        <w:spacing w:after="120"/>
        <w:ind w:firstLine="720"/>
      </w:pPr>
      <w:r>
        <w:t>I</w:t>
      </w:r>
      <w:r w:rsidR="003D0D7C">
        <w:t>t is true that t</w:t>
      </w:r>
      <w:r w:rsidR="005946BB">
        <w:t xml:space="preserve">here can be </w:t>
      </w:r>
      <w:r w:rsidR="005946BB" w:rsidRPr="00E14F80">
        <w:rPr>
          <w:i/>
          <w:iCs/>
        </w:rPr>
        <w:t>implied contracts</w:t>
      </w:r>
      <w:r w:rsidR="005946BB">
        <w:t xml:space="preserve"> or </w:t>
      </w:r>
      <w:r w:rsidR="00262B3C">
        <w:t xml:space="preserve">implied </w:t>
      </w:r>
      <w:r w:rsidR="005946BB">
        <w:t xml:space="preserve">terms </w:t>
      </w:r>
      <w:r w:rsidR="00262B3C">
        <w:t xml:space="preserve">in </w:t>
      </w:r>
      <w:r w:rsidR="005946BB">
        <w:t>a contract, since contracts are formed by some type of communication between the parties and language is highly contextual. If I sit down in a restaurant there is an implied understand</w:t>
      </w:r>
      <w:r w:rsidR="00F53E99">
        <w:t>ing that</w:t>
      </w:r>
      <w:r w:rsidR="005946BB">
        <w:t xml:space="preserve"> I have agreed to pay for the meal afterw</w:t>
      </w:r>
      <w:r w:rsidR="0037305B">
        <w:t>a</w:t>
      </w:r>
      <w:r w:rsidR="005946BB">
        <w:t>rd</w:t>
      </w:r>
      <w:r w:rsidR="00D8290D">
        <w:t xml:space="preserve">—I have in effect </w:t>
      </w:r>
      <w:proofErr w:type="gramStart"/>
      <w:r w:rsidR="00D8290D">
        <w:t>stated</w:t>
      </w:r>
      <w:proofErr w:type="gramEnd"/>
      <w:r w:rsidR="00D8290D">
        <w:t xml:space="preserve"> “I hereby transfer a future payment to you upon completion of my meal.”</w:t>
      </w:r>
      <w:r w:rsidR="005946BB">
        <w:t xml:space="preserve"> But there is no such thing as “implicit theft</w:t>
      </w:r>
      <w:r w:rsidR="00E14F80">
        <w:t>.</w:t>
      </w:r>
      <w:r w:rsidR="005946BB">
        <w:t>” Theft means taking the owned property of another person without his consent.</w:t>
      </w:r>
    </w:p>
    <w:p w14:paraId="33343B2D" w14:textId="4FF85549" w:rsidR="00CB4C56" w:rsidRDefault="00223E0D" w:rsidP="00996300">
      <w:pPr>
        <w:spacing w:after="120"/>
        <w:ind w:firstLine="720"/>
      </w:pPr>
      <w:r>
        <w:t xml:space="preserve">One problem with the notion </w:t>
      </w:r>
      <w:r w:rsidR="00CD2DE4">
        <w:t>of implicit theft</w:t>
      </w:r>
      <w:r>
        <w:t xml:space="preserve"> is that </w:t>
      </w:r>
      <w:r w:rsidR="003C34EB">
        <w:t>a</w:t>
      </w:r>
      <w:r w:rsidR="00E51A62">
        <w:t xml:space="preserve"> nonexistent thing </w:t>
      </w:r>
      <w:r w:rsidR="00FB2769">
        <w:t xml:space="preserve">obviously </w:t>
      </w:r>
      <w:r w:rsidR="00E51A62">
        <w:t xml:space="preserve">cannot be owned, transferred, or stolen. Rothbard has lost sight of the fact that any </w:t>
      </w:r>
      <w:r w:rsidR="00E51A62" w:rsidRPr="00E51A62">
        <w:rPr>
          <w:i/>
          <w:iCs/>
        </w:rPr>
        <w:t>future</w:t>
      </w:r>
      <w:r w:rsidR="00E51A62">
        <w:t xml:space="preserve"> title transfer </w:t>
      </w:r>
      <w:r w:rsidR="00742B21">
        <w:t xml:space="preserve">(an executory contract) </w:t>
      </w:r>
      <w:r w:rsidR="00E51A62">
        <w:t xml:space="preserve">is </w:t>
      </w:r>
      <w:r w:rsidR="00E51A62">
        <w:rPr>
          <w:i/>
          <w:iCs/>
        </w:rPr>
        <w:t>always, necessarily</w:t>
      </w:r>
      <w:r w:rsidR="00E51A62">
        <w:t xml:space="preserve"> conditional. This is because the future is uncertain</w:t>
      </w:r>
      <w:r>
        <w:t>,</w:t>
      </w:r>
      <w:r w:rsidR="00CB4C56">
        <w:t xml:space="preserve"> </w:t>
      </w:r>
      <w:r>
        <w:t>a</w:t>
      </w:r>
      <w:r w:rsidR="00CB4C56">
        <w:t>s</w:t>
      </w:r>
      <w:r w:rsidR="00F0540C">
        <w:t xml:space="preserve"> </w:t>
      </w:r>
      <w:r w:rsidR="008D07F7">
        <w:t>Rothbard</w:t>
      </w:r>
      <w:r w:rsidR="00111BD0">
        <w:t xml:space="preserve"> </w:t>
      </w:r>
      <w:r w:rsidR="00C009D9">
        <w:t>(</w:t>
      </w:r>
      <w:r w:rsidR="00C009D9" w:rsidRPr="0013117E">
        <w:rPr>
          <w:sz w:val="22"/>
          <w:szCs w:val="22"/>
        </w:rPr>
        <w:t>2</w:t>
      </w:r>
      <w:r w:rsidR="00C009D9" w:rsidRPr="00742B21">
        <w:t>009, p. 7)</w:t>
      </w:r>
      <w:r w:rsidR="00C009D9">
        <w:rPr>
          <w:sz w:val="22"/>
          <w:szCs w:val="22"/>
        </w:rPr>
        <w:t xml:space="preserve"> </w:t>
      </w:r>
      <w:r w:rsidR="00D62655">
        <w:t>elsewhere recognized</w:t>
      </w:r>
      <w:r w:rsidR="00CB4C56">
        <w:t>:</w:t>
      </w:r>
    </w:p>
    <w:p w14:paraId="229E07A3" w14:textId="40EB6D6C" w:rsidR="00CB4C56" w:rsidRPr="0013117E" w:rsidRDefault="00CB4C56" w:rsidP="00996300">
      <w:pPr>
        <w:spacing w:after="120"/>
        <w:ind w:left="900" w:right="900"/>
        <w:rPr>
          <w:sz w:val="22"/>
          <w:szCs w:val="22"/>
        </w:rPr>
      </w:pPr>
      <w:r w:rsidRPr="003530F9">
        <w:rPr>
          <w:b/>
          <w:bCs/>
          <w:sz w:val="22"/>
          <w:szCs w:val="22"/>
        </w:rPr>
        <w:t>Another fundam</w:t>
      </w:r>
      <w:r w:rsidRPr="0013117E">
        <w:rPr>
          <w:sz w:val="22"/>
          <w:szCs w:val="22"/>
        </w:rPr>
        <w:t xml:space="preserve">ental implication derived from the existence of human action is </w:t>
      </w:r>
      <w:r w:rsidRPr="0013117E">
        <w:rPr>
          <w:i/>
          <w:iCs/>
          <w:sz w:val="22"/>
          <w:szCs w:val="22"/>
        </w:rPr>
        <w:t>the uncertainty of the future</w:t>
      </w:r>
      <w:r w:rsidRPr="0013117E">
        <w:rPr>
          <w:sz w:val="22"/>
          <w:szCs w:val="22"/>
        </w:rPr>
        <w:t>. This must be true because the contrary would completely negate the possibility of action. If man knew future events completely, he</w:t>
      </w:r>
      <w:r w:rsidR="0013117E" w:rsidRPr="0013117E">
        <w:rPr>
          <w:sz w:val="22"/>
          <w:szCs w:val="22"/>
        </w:rPr>
        <w:t xml:space="preserve"> </w:t>
      </w:r>
      <w:r w:rsidRPr="0013117E">
        <w:rPr>
          <w:sz w:val="22"/>
          <w:szCs w:val="22"/>
        </w:rPr>
        <w:t>would never act, since no act of his could change the situation.</w:t>
      </w:r>
      <w:r w:rsidR="0013117E">
        <w:rPr>
          <w:sz w:val="22"/>
          <w:szCs w:val="22"/>
        </w:rPr>
        <w:t xml:space="preserve"> </w:t>
      </w:r>
      <w:r w:rsidR="0013117E" w:rsidRPr="0013117E">
        <w:rPr>
          <w:sz w:val="22"/>
          <w:szCs w:val="22"/>
        </w:rPr>
        <w:t>Thus, the fact of action signifies that the future is uncertain to</w:t>
      </w:r>
      <w:r w:rsidR="0013117E">
        <w:rPr>
          <w:sz w:val="22"/>
          <w:szCs w:val="22"/>
        </w:rPr>
        <w:t xml:space="preserve"> </w:t>
      </w:r>
      <w:r w:rsidR="0013117E" w:rsidRPr="0013117E">
        <w:rPr>
          <w:sz w:val="22"/>
          <w:szCs w:val="22"/>
        </w:rPr>
        <w:t>the actors.</w:t>
      </w:r>
    </w:p>
    <w:p w14:paraId="591C0425" w14:textId="77777777" w:rsidR="00FA1D6B" w:rsidRDefault="00223E0D" w:rsidP="00996300">
      <w:pPr>
        <w:keepNext/>
        <w:spacing w:before="360" w:after="120"/>
      </w:pPr>
      <w:bookmarkStart w:id="62" w:name="OLE_LINK748"/>
      <w:bookmarkStart w:id="63" w:name="OLE_LINK749"/>
      <w:r>
        <w:lastRenderedPageBreak/>
        <w:t xml:space="preserve">Moreover, present funds transferred </w:t>
      </w:r>
      <w:r w:rsidRPr="00686A5D">
        <w:rPr>
          <w:i/>
          <w:iCs/>
        </w:rPr>
        <w:t>now</w:t>
      </w:r>
      <w:r>
        <w:t xml:space="preserve">, as in a loan, are </w:t>
      </w:r>
      <w:r w:rsidRPr="00686A5D">
        <w:rPr>
          <w:i/>
          <w:iCs/>
        </w:rPr>
        <w:t>different</w:t>
      </w:r>
      <w:r>
        <w:t xml:space="preserve"> from the </w:t>
      </w:r>
      <w:r w:rsidRPr="00686A5D">
        <w:rPr>
          <w:i/>
          <w:iCs/>
        </w:rPr>
        <w:t>future</w:t>
      </w:r>
      <w:r>
        <w:t xml:space="preserve"> sum to be repaid. </w:t>
      </w:r>
      <w:r w:rsidR="00765BC4">
        <w:t xml:space="preserve">This is because the loaned money is </w:t>
      </w:r>
      <w:r w:rsidR="00765BC4" w:rsidRPr="00686A5D">
        <w:rPr>
          <w:i/>
          <w:iCs/>
        </w:rPr>
        <w:t>meant to be spent</w:t>
      </w:r>
      <w:r w:rsidR="00765BC4">
        <w:t xml:space="preserve">, or used, by the borrower. </w:t>
      </w:r>
      <w:r w:rsidR="007A3FC5">
        <w:t xml:space="preserve">As </w:t>
      </w:r>
      <w:r w:rsidR="007A3FC5" w:rsidRPr="00736877">
        <w:t>Huerta de Soto (2020, ch. 3, §2, p. 119</w:t>
      </w:r>
      <w:r w:rsidR="007A3FC5">
        <w:t>, emphasis added</w:t>
      </w:r>
      <w:r w:rsidR="007A3FC5" w:rsidRPr="00736877">
        <w:t xml:space="preserve">) </w:t>
      </w:r>
      <w:r w:rsidR="007A3FC5">
        <w:t>explains</w:t>
      </w:r>
      <w:r w:rsidR="007A3FC5" w:rsidRPr="00736877">
        <w:t xml:space="preserve">: “a loan implies the transfer not only of ownership of the lent item, but of its full availability, and therefore the borrower </w:t>
      </w:r>
      <w:r w:rsidR="007A3FC5" w:rsidRPr="000B0918">
        <w:rPr>
          <w:i/>
          <w:iCs/>
        </w:rPr>
        <w:t>can make full use of it</w:t>
      </w:r>
      <w:r w:rsidR="007A3FC5" w:rsidRPr="00736877">
        <w:t>,</w:t>
      </w:r>
      <w:r w:rsidR="008F77BD">
        <w:t xml:space="preserve"> </w:t>
      </w:r>
      <w:r w:rsidR="007A3FC5" w:rsidRPr="00736877">
        <w:t>invest</w:t>
      </w:r>
      <w:r w:rsidR="007A3FC5" w:rsidRPr="00736877">
        <w:softHyphen/>
        <w:t xml:space="preserve">ing it, </w:t>
      </w:r>
      <w:r w:rsidR="007A3FC5" w:rsidRPr="000B0918">
        <w:rPr>
          <w:i/>
          <w:iCs/>
        </w:rPr>
        <w:t>spending it</w:t>
      </w:r>
      <w:r w:rsidR="007A3FC5" w:rsidRPr="00736877">
        <w:t>, etc.”</w:t>
      </w:r>
      <w:r w:rsidR="008F77BD">
        <w:rPr>
          <w:rStyle w:val="FootnoteReference"/>
        </w:rPr>
        <w:footnoteReference w:id="12"/>
      </w:r>
      <w:r w:rsidR="0036743D">
        <w:t xml:space="preserve"> </w:t>
      </w:r>
      <w:r>
        <w:t xml:space="preserve">Thus, in a loan, there are two </w:t>
      </w:r>
      <w:r w:rsidRPr="00686A5D">
        <w:rPr>
          <w:i/>
          <w:iCs/>
        </w:rPr>
        <w:t>separate</w:t>
      </w:r>
      <w:r>
        <w:t xml:space="preserve"> title transfers: certain, present money transferred </w:t>
      </w:r>
      <w:r w:rsidRPr="00686A5D">
        <w:rPr>
          <w:i/>
          <w:iCs/>
        </w:rPr>
        <w:t>now</w:t>
      </w:r>
      <w:r>
        <w:t xml:space="preserve"> (say, $1000) and a future, uncertain transfer of a </w:t>
      </w:r>
      <w:r w:rsidRPr="00686A5D">
        <w:rPr>
          <w:i/>
          <w:iCs/>
        </w:rPr>
        <w:t>different</w:t>
      </w:r>
      <w:r>
        <w:t xml:space="preserve"> </w:t>
      </w:r>
      <w:r w:rsidR="0036743D">
        <w:t xml:space="preserve">sum (say, </w:t>
      </w:r>
      <w:r>
        <w:t>$1100</w:t>
      </w:r>
      <w:r w:rsidR="0036743D">
        <w:t>)</w:t>
      </w:r>
      <w:r>
        <w:t>. Failure to pay $1100 in the future is not theft of the $1000 loaned in the past; and if the debtor is insolvent and does not own $1100 in the future, there is nothing to steal.</w:t>
      </w:r>
      <w:r w:rsidR="002B1C5B">
        <w:t xml:space="preserve"> </w:t>
      </w:r>
      <w:r w:rsidR="0036743D">
        <w:t xml:space="preserve">Rothbard’s theory of implicit theft must be rejected as unworkable and flawed. </w:t>
      </w:r>
      <w:r w:rsidR="002B1C5B">
        <w:t>Fortunately, t</w:t>
      </w:r>
      <w:r w:rsidR="0036743D">
        <w:t xml:space="preserve">he TTTC </w:t>
      </w:r>
      <w:r w:rsidR="00422A76">
        <w:t xml:space="preserve">does not </w:t>
      </w:r>
      <w:r w:rsidR="0036743D">
        <w:t>need to rely on the confused and flawed concept of implicit theft</w:t>
      </w:r>
      <w:r w:rsidR="00422A76">
        <w:t xml:space="preserve"> to support the right of property owners to make contractual title transfers</w:t>
      </w:r>
      <w:r w:rsidR="0036743D">
        <w:t>.</w:t>
      </w:r>
      <w:r w:rsidR="001115C6">
        <w:rPr>
          <w:rStyle w:val="FootnoteReference"/>
        </w:rPr>
        <w:footnoteReference w:id="13"/>
      </w:r>
      <w:bookmarkStart w:id="64" w:name="OLE_LINK682"/>
      <w:bookmarkStart w:id="65" w:name="OLE_LINK683"/>
      <w:bookmarkEnd w:id="62"/>
      <w:bookmarkEnd w:id="63"/>
    </w:p>
    <w:p w14:paraId="2E60D0F3" w14:textId="6FC8DE47" w:rsidR="00DF7063" w:rsidRPr="00DF7063" w:rsidRDefault="00FA1D6B" w:rsidP="00996300">
      <w:pPr>
        <w:keepNext/>
        <w:spacing w:before="360" w:after="120"/>
        <w:rPr>
          <w:i/>
          <w:iCs/>
        </w:rPr>
      </w:pPr>
      <w:r w:rsidRPr="003530F9">
        <w:rPr>
          <w:i/>
          <w:iCs/>
        </w:rPr>
        <w:t xml:space="preserve">A. </w:t>
      </w:r>
      <w:r w:rsidR="00DF7063" w:rsidRPr="00DF7063">
        <w:rPr>
          <w:i/>
          <w:iCs/>
        </w:rPr>
        <w:t>Implicit Theft and Debtor’s Prison</w:t>
      </w:r>
      <w:bookmarkEnd w:id="64"/>
      <w:bookmarkEnd w:id="65"/>
    </w:p>
    <w:p w14:paraId="3674A289" w14:textId="2495D57D" w:rsidR="00C64D2E" w:rsidRDefault="19B4FCFD" w:rsidP="00996300">
      <w:pPr>
        <w:keepNext/>
        <w:spacing w:after="120"/>
        <w:ind w:firstLine="720"/>
      </w:pPr>
      <w:r>
        <w:t xml:space="preserve">By avoiding the unnecessary </w:t>
      </w:r>
      <w:r w:rsidR="00212FC1">
        <w:t xml:space="preserve">and </w:t>
      </w:r>
      <w:r w:rsidR="00416B5C">
        <w:t>flawed</w:t>
      </w:r>
      <w:r w:rsidR="00212FC1">
        <w:t xml:space="preserve"> </w:t>
      </w:r>
      <w:r>
        <w:t xml:space="preserve">notion of implicit theft, we </w:t>
      </w:r>
      <w:r w:rsidR="00CB235C">
        <w:t>can</w:t>
      </w:r>
      <w:r>
        <w:t xml:space="preserve"> avoid a difficulty Rothbard finds himself in. Roth</w:t>
      </w:r>
      <w:r w:rsidR="00404368">
        <w:t>b</w:t>
      </w:r>
      <w:r>
        <w:t>ard (</w:t>
      </w:r>
      <w:r w:rsidR="00CB0765">
        <w:t>1998b</w:t>
      </w:r>
      <w:r w:rsidR="0000262A">
        <w:t>, pp. 134–36</w:t>
      </w:r>
      <w:r>
        <w:t xml:space="preserve">) </w:t>
      </w:r>
      <w:r w:rsidR="003D4D90">
        <w:t xml:space="preserve">rightly </w:t>
      </w:r>
      <w:r w:rsidR="00321CD7">
        <w:t xml:space="preserve">argues </w:t>
      </w:r>
      <w:r w:rsidR="003D4D90">
        <w:t>that</w:t>
      </w:r>
      <w:r>
        <w:t xml:space="preserve"> voluntary slavery contracts are not enforceable. </w:t>
      </w:r>
      <w:r w:rsidR="00D87DF0">
        <w:t xml:space="preserve">As </w:t>
      </w:r>
      <w:r w:rsidR="00F32077">
        <w:t xml:space="preserve">he </w:t>
      </w:r>
      <w:r w:rsidR="00D87DF0">
        <w:t xml:space="preserve">observes, </w:t>
      </w:r>
      <w:r>
        <w:t xml:space="preserve">even after making a voluntary slavery contract, the would-be slave still retains his </w:t>
      </w:r>
      <w:r w:rsidRPr="003C34EB">
        <w:rPr>
          <w:i/>
        </w:rPr>
        <w:t>will</w:t>
      </w:r>
      <w:r>
        <w:t>, which is inalienable</w:t>
      </w:r>
      <w:r w:rsidR="00182787">
        <w:t xml:space="preserve">. </w:t>
      </w:r>
      <w:r w:rsidR="00D90FB2">
        <w:t>This is because</w:t>
      </w:r>
      <w:r w:rsidR="00182787">
        <w:t xml:space="preserve"> man “</w:t>
      </w:r>
      <w:r w:rsidR="00182787" w:rsidRPr="00182787">
        <w:t xml:space="preserve">discovers the natural fact of his mind’s command over his body and its actions: that is, of his natural </w:t>
      </w:r>
      <w:r w:rsidR="00182787" w:rsidRPr="00182787">
        <w:rPr>
          <w:i/>
          <w:iCs/>
        </w:rPr>
        <w:t>ownership</w:t>
      </w:r>
      <w:r w:rsidR="00182787" w:rsidRPr="00182787">
        <w:t xml:space="preserve"> over his self</w:t>
      </w:r>
      <w:r w:rsidR="00182787">
        <w:t>” (Rothbard 1998e, p. 31)</w:t>
      </w:r>
      <w:r w:rsidR="003D4D90">
        <w:t>, i.e., of his body</w:t>
      </w:r>
      <w:r w:rsidR="00182787">
        <w:t xml:space="preserve">. </w:t>
      </w:r>
      <w:r>
        <w:t xml:space="preserve">So far, so good. This </w:t>
      </w:r>
      <w:r w:rsidR="00D87DF0">
        <w:t xml:space="preserve">is </w:t>
      </w:r>
      <w:r>
        <w:t>similar to</w:t>
      </w:r>
      <w:r w:rsidR="00067516">
        <w:t xml:space="preserve"> </w:t>
      </w:r>
      <w:r>
        <w:t>my</w:t>
      </w:r>
      <w:r w:rsidR="00952747">
        <w:t xml:space="preserve"> own</w:t>
      </w:r>
      <w:r>
        <w:t xml:space="preserve"> argument for inalienability</w:t>
      </w:r>
      <w:r w:rsidR="00952747">
        <w:t xml:space="preserve"> (based on Hoppe)</w:t>
      </w:r>
      <w:r>
        <w:t>, namely that ownership of one’s body does not stem from homesteading an unowned thing</w:t>
      </w:r>
      <w:r w:rsidR="000014BE">
        <w:t xml:space="preserve"> (as is the case for external resources)</w:t>
      </w:r>
      <w:r w:rsidR="00376CAF">
        <w:t xml:space="preserve">, but rather from one’s </w:t>
      </w:r>
      <w:r w:rsidR="00376CAF" w:rsidRPr="003C34EB">
        <w:rPr>
          <w:i/>
        </w:rPr>
        <w:t>direct control</w:t>
      </w:r>
      <w:r w:rsidR="00376CAF">
        <w:t xml:space="preserve"> </w:t>
      </w:r>
      <w:r w:rsidR="00AC3256" w:rsidRPr="00AC3256">
        <w:rPr>
          <w:i/>
          <w:iCs/>
        </w:rPr>
        <w:t>over</w:t>
      </w:r>
      <w:r w:rsidR="00376CAF">
        <w:t xml:space="preserve"> one’s body (</w:t>
      </w:r>
      <w:r w:rsidR="008D09D9">
        <w:t>Kinsella 2023</w:t>
      </w:r>
      <w:r w:rsidR="00445B66">
        <w:t>a</w:t>
      </w:r>
      <w:r w:rsidR="008D09D9">
        <w:t xml:space="preserve">, Part </w:t>
      </w:r>
      <w:r w:rsidR="00182787">
        <w:t>III.B</w:t>
      </w:r>
      <w:r w:rsidR="008D09D9">
        <w:t xml:space="preserve">; </w:t>
      </w:r>
      <w:r w:rsidR="002850D7">
        <w:t xml:space="preserve">Kinsella </w:t>
      </w:r>
      <w:r w:rsidR="002850D7" w:rsidRPr="002850D7">
        <w:t>2023</w:t>
      </w:r>
      <w:r w:rsidR="00445B66">
        <w:t>c</w:t>
      </w:r>
      <w:r w:rsidR="002850D7">
        <w:t>, p. 52</w:t>
      </w:r>
      <w:r w:rsidR="005025AA">
        <w:t>–53</w:t>
      </w:r>
      <w:r w:rsidR="00952747">
        <w:t>; Hoppe 2023, p. xvii</w:t>
      </w:r>
      <w:r w:rsidR="00376CAF">
        <w:t>)</w:t>
      </w:r>
      <w:r>
        <w:t xml:space="preserve">. </w:t>
      </w:r>
      <w:r w:rsidR="007F6825">
        <w:t xml:space="preserve">A contract to sell one’s body is unenforceable </w:t>
      </w:r>
      <w:r w:rsidR="007F6825" w:rsidRPr="00097102">
        <w:rPr>
          <w:i/>
          <w:iCs/>
        </w:rPr>
        <w:t>because</w:t>
      </w:r>
      <w:r w:rsidR="007F6825">
        <w:t xml:space="preserve"> enforcing it would be an act of aggression against </w:t>
      </w:r>
      <w:r w:rsidR="008D6FF9">
        <w:t>the would-be slave</w:t>
      </w:r>
      <w:r w:rsidR="007F6825">
        <w:t xml:space="preserve">, as he has not himself committed any act of aggression justifying the use of </w:t>
      </w:r>
      <w:r w:rsidR="005F0FAE">
        <w:t xml:space="preserve">(retaliatory) </w:t>
      </w:r>
      <w:r w:rsidR="007F6825">
        <w:t>force against his body.</w:t>
      </w:r>
      <w:r w:rsidR="00F4285A">
        <w:t xml:space="preserve"> </w:t>
      </w:r>
      <w:r w:rsidR="008835E9">
        <w:t>(See also Barnett 1991</w:t>
      </w:r>
      <w:r w:rsidR="003C34EB">
        <w:t>.)</w:t>
      </w:r>
    </w:p>
    <w:p w14:paraId="424DC826" w14:textId="659EC8EF" w:rsidR="0034609A" w:rsidRDefault="007F6825" w:rsidP="00996300">
      <w:pPr>
        <w:keepNext/>
        <w:spacing w:after="120"/>
        <w:ind w:firstLine="720"/>
      </w:pPr>
      <w:bookmarkStart w:id="66" w:name="OLE_LINK680"/>
      <w:bookmarkStart w:id="67" w:name="OLE_LINK681"/>
      <w:r>
        <w:t xml:space="preserve">By contrast, </w:t>
      </w:r>
      <w:r w:rsidR="00C64D2E">
        <w:t>people</w:t>
      </w:r>
      <w:r>
        <w:t xml:space="preserve"> come to own </w:t>
      </w:r>
      <w:proofErr w:type="gramStart"/>
      <w:r w:rsidR="19B4FCFD" w:rsidRPr="003C34EB">
        <w:t>formerly-unowned</w:t>
      </w:r>
      <w:proofErr w:type="gramEnd"/>
      <w:r>
        <w:t xml:space="preserve"> </w:t>
      </w:r>
      <w:r w:rsidR="00777AB7">
        <w:t xml:space="preserve">scarce </w:t>
      </w:r>
      <w:r>
        <w:t xml:space="preserve">resources by original appropriation, or by a contractual title transfer from a previous owner. </w:t>
      </w:r>
      <w:r w:rsidR="00F178E8">
        <w:t xml:space="preserve">These </w:t>
      </w:r>
      <w:proofErr w:type="gramStart"/>
      <w:r>
        <w:t>previously-</w:t>
      </w:r>
      <w:r w:rsidR="00F178E8">
        <w:t>un</w:t>
      </w:r>
      <w:r>
        <w:t>owned</w:t>
      </w:r>
      <w:proofErr w:type="gramEnd"/>
      <w:r>
        <w:t xml:space="preserve"> resources </w:t>
      </w:r>
      <w:r w:rsidR="00F178E8">
        <w:t xml:space="preserve">were all </w:t>
      </w:r>
      <w:r>
        <w:rPr>
          <w:i/>
          <w:iCs/>
        </w:rPr>
        <w:t>acquired</w:t>
      </w:r>
      <w:r w:rsidR="006C0A44">
        <w:t xml:space="preserve">, </w:t>
      </w:r>
      <w:r w:rsidR="002264BD">
        <w:t xml:space="preserve">either </w:t>
      </w:r>
      <w:r w:rsidR="006C0A44">
        <w:t>by original appropriation</w:t>
      </w:r>
      <w:r w:rsidR="002264BD">
        <w:t xml:space="preserve"> or </w:t>
      </w:r>
      <w:r w:rsidR="003F734E">
        <w:t xml:space="preserve">by contractual transfer </w:t>
      </w:r>
      <w:r w:rsidR="002264BD">
        <w:t>from a previous owner</w:t>
      </w:r>
      <w:r>
        <w:t xml:space="preserve">. </w:t>
      </w:r>
      <w:bookmarkStart w:id="68" w:name="OLE_LINK677"/>
      <w:bookmarkStart w:id="69" w:name="OLE_LINK678"/>
      <w:bookmarkStart w:id="70" w:name="OLE_LINK679"/>
      <w:r>
        <w:t xml:space="preserve">Such owned things can also be </w:t>
      </w:r>
      <w:r w:rsidR="19B4FCFD">
        <w:t>“un-acquire</w:t>
      </w:r>
      <w:r>
        <w:t>d</w:t>
      </w:r>
      <w:r w:rsidR="19B4FCFD">
        <w:t xml:space="preserve">” </w:t>
      </w:r>
      <w:r w:rsidR="00403ACA">
        <w:t>or abandoned, either outright, or “</w:t>
      </w:r>
      <w:r w:rsidR="19B4FCFD">
        <w:t>in favor of</w:t>
      </w:r>
      <w:r w:rsidR="00403ACA">
        <w:t>”</w:t>
      </w:r>
      <w:r w:rsidR="19B4FCFD">
        <w:t xml:space="preserve"> </w:t>
      </w:r>
      <w:r>
        <w:t>someone else</w:t>
      </w:r>
      <w:r w:rsidR="00845B4A">
        <w:t xml:space="preserve">. </w:t>
      </w:r>
      <w:r w:rsidR="006D1AF8" w:rsidRPr="00C07D33">
        <w:t>(Kinsella 2023</w:t>
      </w:r>
      <w:r w:rsidR="00445B66">
        <w:t>a</w:t>
      </w:r>
      <w:r w:rsidR="006D1AF8" w:rsidRPr="00C07D33">
        <w:t>, Part III.A</w:t>
      </w:r>
      <w:r w:rsidR="00595FE8">
        <w:t>).</w:t>
      </w:r>
      <w:r w:rsidR="00595FE8">
        <w:rPr>
          <w:rStyle w:val="FootnoteReference"/>
        </w:rPr>
        <w:footnoteReference w:id="14"/>
      </w:r>
      <w:r w:rsidR="00845B4A" w:rsidRPr="00C07D33">
        <w:t xml:space="preserve"> </w:t>
      </w:r>
      <w:bookmarkEnd w:id="66"/>
      <w:bookmarkEnd w:id="67"/>
      <w:bookmarkEnd w:id="68"/>
      <w:bookmarkEnd w:id="69"/>
      <w:bookmarkEnd w:id="70"/>
      <w:r w:rsidR="00845B4A">
        <w:t xml:space="preserve">This is </w:t>
      </w:r>
      <w:r w:rsidR="00403ACA">
        <w:t xml:space="preserve">precisely </w:t>
      </w:r>
      <w:r>
        <w:t xml:space="preserve">why </w:t>
      </w:r>
      <w:r w:rsidRPr="00845B4A">
        <w:rPr>
          <w:i/>
          <w:iCs/>
        </w:rPr>
        <w:t>owned things</w:t>
      </w:r>
      <w:r>
        <w:t xml:space="preserve"> can </w:t>
      </w:r>
      <w:r>
        <w:lastRenderedPageBreak/>
        <w:t>be sold or given away</w:t>
      </w:r>
      <w:r w:rsidR="00CA55B5">
        <w:t>—transferred—</w:t>
      </w:r>
      <w:r>
        <w:t xml:space="preserve">by contract. </w:t>
      </w:r>
      <w:r w:rsidR="002D0AD3">
        <w:t>One’s</w:t>
      </w:r>
      <w:r w:rsidR="0034609A">
        <w:t xml:space="preserve"> body, by contrast, cannot be</w:t>
      </w:r>
      <w:r w:rsidR="00EC7F69">
        <w:t xml:space="preserve"> sold</w:t>
      </w:r>
      <w:r w:rsidR="0034609A">
        <w:t>, since, as Rothbard correctly observe</w:t>
      </w:r>
      <w:r w:rsidR="006157F8">
        <w:t>d</w:t>
      </w:r>
      <w:r w:rsidR="0034609A">
        <w:t xml:space="preserve">, </w:t>
      </w:r>
      <w:proofErr w:type="gramStart"/>
      <w:r w:rsidR="0034609A">
        <w:t>one’s will is</w:t>
      </w:r>
      <w:proofErr w:type="gramEnd"/>
      <w:r w:rsidR="0034609A">
        <w:t xml:space="preserve"> inalienable and so the body cannot be alienated by contract.</w:t>
      </w:r>
    </w:p>
    <w:p w14:paraId="3C3C8FAB" w14:textId="2D2B81EC" w:rsidR="00D07FF8" w:rsidRDefault="007702D7" w:rsidP="00996300">
      <w:pPr>
        <w:spacing w:after="120"/>
        <w:ind w:firstLine="720"/>
      </w:pPr>
      <w:r>
        <w:t>Y</w:t>
      </w:r>
      <w:r w:rsidR="0034609A">
        <w:t xml:space="preserve">et Rothbard’s “implicit theft” argument </w:t>
      </w:r>
      <w:r w:rsidR="00526A3B">
        <w:t>would</w:t>
      </w:r>
      <w:r w:rsidR="0034609A">
        <w:t xml:space="preserve"> impl</w:t>
      </w:r>
      <w:r w:rsidR="00526A3B">
        <w:t>y</w:t>
      </w:r>
      <w:r w:rsidR="0034609A">
        <w:t xml:space="preserve"> </w:t>
      </w:r>
      <w:r w:rsidR="00526A3B">
        <w:t>that</w:t>
      </w:r>
      <w:r w:rsidR="0034609A">
        <w:t xml:space="preserve"> </w:t>
      </w:r>
      <w:r w:rsidR="0064457C">
        <w:t>a person</w:t>
      </w:r>
      <w:r w:rsidR="0034609A">
        <w:t xml:space="preserve"> can</w:t>
      </w:r>
      <w:r w:rsidR="00DD50D4">
        <w:t xml:space="preserve">, </w:t>
      </w:r>
      <w:r w:rsidR="0034609A">
        <w:t>in effect</w:t>
      </w:r>
      <w:r w:rsidR="00DD50D4">
        <w:t>,</w:t>
      </w:r>
      <w:r w:rsidR="0034609A">
        <w:t xml:space="preserve"> sell </w:t>
      </w:r>
      <w:r w:rsidR="00061F5B">
        <w:t>himself</w:t>
      </w:r>
      <w:r w:rsidR="0034609A">
        <w:t xml:space="preserve"> into slavery. This is because if </w:t>
      </w:r>
      <w:r w:rsidR="00DE5499">
        <w:t>a</w:t>
      </w:r>
      <w:r w:rsidR="0034609A">
        <w:t xml:space="preserve"> deadbeat debtor has committed implicit theft</w:t>
      </w:r>
      <w:r w:rsidR="00061F5B">
        <w:t>—</w:t>
      </w:r>
      <w:r w:rsidR="0034609A">
        <w:t>an act of aggression</w:t>
      </w:r>
      <w:r w:rsidR="00061F5B">
        <w:t>—</w:t>
      </w:r>
      <w:r w:rsidR="000A052C">
        <w:t xml:space="preserve">by “stealing” the nonexistent future thing that he is unable to provide to the debtor, </w:t>
      </w:r>
      <w:r w:rsidR="00137AC8">
        <w:t xml:space="preserve">then </w:t>
      </w:r>
      <w:r w:rsidR="0034609A">
        <w:t>he may be punished</w:t>
      </w:r>
      <w:r w:rsidR="00137AC8">
        <w:t xml:space="preserve"> (</w:t>
      </w:r>
      <w:r w:rsidR="005527D9">
        <w:t>Rothbard 1998</w:t>
      </w:r>
      <w:r w:rsidR="00CB0765">
        <w:t>c</w:t>
      </w:r>
      <w:r w:rsidR="00137AC8">
        <w:t>)</w:t>
      </w:r>
      <w:r w:rsidR="0034609A">
        <w:t xml:space="preserve">. </w:t>
      </w:r>
      <w:r w:rsidR="00231C85">
        <w:t xml:space="preserve">Rothbard </w:t>
      </w:r>
      <w:r w:rsidR="0034609A">
        <w:t xml:space="preserve">in fact </w:t>
      </w:r>
      <w:r w:rsidR="00231C85">
        <w:t>concedes that</w:t>
      </w:r>
      <w:r w:rsidR="0011560D">
        <w:t>,</w:t>
      </w:r>
      <w:r w:rsidR="00231C85">
        <w:t xml:space="preserve"> in principle, debtor’s prison is</w:t>
      </w:r>
      <w:r w:rsidR="00981D99">
        <w:t xml:space="preserve"> thus</w:t>
      </w:r>
      <w:r w:rsidR="00231C85">
        <w:t xml:space="preserve"> justifiable </w:t>
      </w:r>
      <w:r w:rsidR="00606F2F">
        <w:t xml:space="preserve">(Rothbard </w:t>
      </w:r>
      <w:r w:rsidR="00CB0765">
        <w:t>1998b</w:t>
      </w:r>
      <w:r w:rsidR="00606F2F">
        <w:t>, pp. 143–44).</w:t>
      </w:r>
      <w:r w:rsidR="004B591F">
        <w:rPr>
          <w:rStyle w:val="FootnoteReference"/>
        </w:rPr>
        <w:footnoteReference w:id="15"/>
      </w:r>
      <w:r w:rsidR="00606F2F">
        <w:t xml:space="preserve"> </w:t>
      </w:r>
      <w:r w:rsidR="00231C85">
        <w:t>But this is nothing but a form of voluntary slavery contract, which Rothbard (</w:t>
      </w:r>
      <w:r w:rsidR="00CB0765">
        <w:t>1998b</w:t>
      </w:r>
      <w:r w:rsidR="002E7551">
        <w:t>,</w:t>
      </w:r>
      <w:r w:rsidR="00231C85">
        <w:t xml:space="preserve"> pp. </w:t>
      </w:r>
      <w:r w:rsidR="00CE176A">
        <w:t>134–35</w:t>
      </w:r>
      <w:r w:rsidR="00231C85">
        <w:t>)</w:t>
      </w:r>
      <w:r w:rsidR="002E7551">
        <w:t xml:space="preserve"> </w:t>
      </w:r>
      <w:r w:rsidR="00231C85">
        <w:t>has already opposed.</w:t>
      </w:r>
      <w:r w:rsidR="00CA55B5">
        <w:t xml:space="preserve"> (In </w:t>
      </w:r>
      <w:proofErr w:type="gramStart"/>
      <w:r w:rsidR="00CA55B5">
        <w:t>fact</w:t>
      </w:r>
      <w:proofErr w:type="gramEnd"/>
      <w:r w:rsidR="00CA55B5">
        <w:t xml:space="preserve"> Walter Block uses Rothbard’s arguments about implicit theft and debtor’s prison to argue that under the TTTC, voluntary slavery contracts are indeed enforceable. See </w:t>
      </w:r>
      <w:r w:rsidR="008F2B5C">
        <w:t xml:space="preserve">Block </w:t>
      </w:r>
      <w:r w:rsidR="000F0EF7">
        <w:t>(</w:t>
      </w:r>
      <w:r w:rsidR="008F2B5C">
        <w:t>2003</w:t>
      </w:r>
      <w:r w:rsidR="000F0EF7">
        <w:t>)</w:t>
      </w:r>
      <w:r w:rsidR="008F2B5C">
        <w:t xml:space="preserve">; </w:t>
      </w:r>
      <w:r w:rsidR="00CA55B5">
        <w:t xml:space="preserve">Kinsella </w:t>
      </w:r>
      <w:r w:rsidR="000F0EF7">
        <w:t>(</w:t>
      </w:r>
      <w:r w:rsidR="00A76F87">
        <w:t>2023</w:t>
      </w:r>
      <w:r w:rsidR="001B4823">
        <w:t>f</w:t>
      </w:r>
      <w:r w:rsidR="00CA55B5">
        <w:t>)</w:t>
      </w:r>
      <w:r w:rsidR="00BE64DC">
        <w:t xml:space="preserve"> Thus Rothbard’s views are in contradiction here.</w:t>
      </w:r>
    </w:p>
    <w:p w14:paraId="071C2220" w14:textId="1EB1DFCD" w:rsidR="00231C85" w:rsidRDefault="00CA55B5" w:rsidP="00996300">
      <w:pPr>
        <w:spacing w:after="120"/>
        <w:ind w:firstLine="720"/>
      </w:pPr>
      <w:r>
        <w:t>Rothbard</w:t>
      </w:r>
      <w:r w:rsidR="00231C85">
        <w:t xml:space="preserve"> tries to wriggle out of this dilemma by arguing that imprisoning a deadbeat debtor would be disproportionate</w:t>
      </w:r>
      <w:r w:rsidR="006F6F93">
        <w:t xml:space="preserve"> punishment</w:t>
      </w:r>
      <w:r w:rsidR="00231C85">
        <w:t xml:space="preserve">, but this is clearly a makeweight argument. </w:t>
      </w:r>
      <w:r w:rsidR="0062092B">
        <w:t>Rothbard cannot on the one ha</w:t>
      </w:r>
      <w:r w:rsidR="00F32BC5">
        <w:t>n</w:t>
      </w:r>
      <w:r w:rsidR="0062092B">
        <w:t>d argue that voluntary slavery contracts are unenforceable because the will is inalienable and then argue that one may be imprisoned because of a contractual promise</w:t>
      </w:r>
      <w:r w:rsidR="006F250E">
        <w:t xml:space="preserve"> that treats a nonexistent and fictional act of “implicit theft” as actual theft</w:t>
      </w:r>
      <w:r w:rsidR="0062092B">
        <w:t xml:space="preserve">. </w:t>
      </w:r>
      <w:r w:rsidR="0002443B">
        <w:t>However, i</w:t>
      </w:r>
      <w:r w:rsidR="00231C85">
        <w:t xml:space="preserve">f we abandon the idea </w:t>
      </w:r>
      <w:r w:rsidR="0062092B">
        <w:t xml:space="preserve">that </w:t>
      </w:r>
      <w:r w:rsidR="00231C85">
        <w:t xml:space="preserve">contract breachers </w:t>
      </w:r>
      <w:r w:rsidR="0062092B">
        <w:t xml:space="preserve">are </w:t>
      </w:r>
      <w:r w:rsidR="00231C85">
        <w:t>“implicit thieves,” then this problem disappears</w:t>
      </w:r>
      <w:r w:rsidR="0062092B">
        <w:t>,</w:t>
      </w:r>
      <w:r w:rsidR="00231C85">
        <w:t xml:space="preserve"> Rothbard’s opposition to voluntary slavery contracts </w:t>
      </w:r>
      <w:r w:rsidR="00E02A02">
        <w:t>makes sense once more</w:t>
      </w:r>
      <w:r w:rsidR="0062092B">
        <w:t>,</w:t>
      </w:r>
      <w:r w:rsidR="00126C7D">
        <w:t xml:space="preserve"> and his contract theory </w:t>
      </w:r>
      <w:r w:rsidR="00837AAA">
        <w:t>becomes</w:t>
      </w:r>
      <w:r w:rsidR="00126C7D">
        <w:t xml:space="preserve"> more coherent</w:t>
      </w:r>
      <w:r w:rsidR="006F250E">
        <w:t xml:space="preserve"> (and Block’s reliance on the TTTC to defend slavery contracts collapses)</w:t>
      </w:r>
      <w:r w:rsidR="00231C85">
        <w:t>.</w:t>
      </w:r>
      <w:bookmarkStart w:id="71" w:name="_Ref175739815"/>
      <w:r w:rsidR="003C7D5D">
        <w:rPr>
          <w:rStyle w:val="FootnoteReference"/>
        </w:rPr>
        <w:footnoteReference w:id="16"/>
      </w:r>
      <w:bookmarkEnd w:id="71"/>
    </w:p>
    <w:p w14:paraId="1574D912" w14:textId="4308A8E4" w:rsidR="00865545" w:rsidRPr="00967DCA" w:rsidRDefault="008512EB" w:rsidP="003530F9">
      <w:pPr>
        <w:keepNext/>
        <w:spacing w:before="360" w:after="120"/>
        <w:jc w:val="center"/>
        <w:rPr>
          <w:b/>
          <w:bCs/>
        </w:rPr>
      </w:pPr>
      <w:r>
        <w:rPr>
          <w:b/>
          <w:bCs/>
        </w:rPr>
        <w:t xml:space="preserve">VII. </w:t>
      </w:r>
      <w:r w:rsidR="19B4FCFD" w:rsidRPr="19B4FCFD">
        <w:rPr>
          <w:b/>
          <w:bCs/>
        </w:rPr>
        <w:t>Conclusion</w:t>
      </w:r>
    </w:p>
    <w:p w14:paraId="00BD300D" w14:textId="3B6E6C0F" w:rsidR="003E32AC" w:rsidRDefault="00954D67" w:rsidP="00686A5D">
      <w:pPr>
        <w:spacing w:after="120"/>
        <w:ind w:firstLine="720"/>
      </w:pPr>
      <w:r>
        <w:t>Conventional theories of contract are unsatisfying because they fail to explain why promises should be binding. Reliance</w:t>
      </w:r>
      <w:r w:rsidR="00A75643">
        <w:t>-</w:t>
      </w:r>
      <w:r>
        <w:t>based theories fail, for example, because they are circular</w:t>
      </w:r>
      <w:r w:rsidR="00FC66CC">
        <w:t xml:space="preserve"> (</w:t>
      </w:r>
      <w:r w:rsidR="006915FC">
        <w:t>because reliance, to justify enforcing a promise, must be reasonable, but reliance is reasonable only if it is known that promises will be binding or enforceable</w:t>
      </w:r>
      <w:r w:rsidR="00FC66CC">
        <w:t>)</w:t>
      </w:r>
      <w:r>
        <w:t xml:space="preserve">. </w:t>
      </w:r>
      <w:r w:rsidR="000260AB">
        <w:t>And c</w:t>
      </w:r>
      <w:r>
        <w:t>ontract law is premised on the notion that contracts are binding, even though specific performance is not available as a remedy</w:t>
      </w:r>
      <w:r w:rsidR="00AA6FEE">
        <w:t xml:space="preserve">. This means </w:t>
      </w:r>
      <w:r>
        <w:t>that all contractual obligations really are just ways of transferring ownership of owned things.</w:t>
      </w:r>
    </w:p>
    <w:p w14:paraId="5A70BA93" w14:textId="47EB6F0E" w:rsidR="00CD1D19" w:rsidRDefault="00CD1D19" w:rsidP="00996300">
      <w:pPr>
        <w:keepNext/>
        <w:widowControl w:val="0"/>
        <w:spacing w:after="120"/>
        <w:ind w:firstLine="720"/>
      </w:pPr>
      <w:r w:rsidRPr="00CD1D19">
        <w:t xml:space="preserve">The title-transfer theory of contract argues that contracts concern the transfer of property titles rather than promises or obligations. A valid contract involves a consensual transfer of </w:t>
      </w:r>
      <w:r w:rsidRPr="00CD1D19">
        <w:lastRenderedPageBreak/>
        <w:t>ownership rights between parties. This distinguishes enforceable agreements from mere promises, as only property rights violations are subject to legal enforcement. Th</w:t>
      </w:r>
      <w:r>
        <w:t>e</w:t>
      </w:r>
      <w:r w:rsidRPr="00CD1D19">
        <w:t xml:space="preserve"> TTTC emphasizes that the core of contractual agreements lies in the legal transfer of control over resources. This approach </w:t>
      </w:r>
      <w:r w:rsidR="00D55D23">
        <w:t>connects the descriptive, economic concepts of possession and exchange</w:t>
      </w:r>
      <w:r w:rsidRPr="00CD1D19">
        <w:t xml:space="preserve"> with the </w:t>
      </w:r>
      <w:r w:rsidR="00D55D23">
        <w:t>legal concepts</w:t>
      </w:r>
      <w:r w:rsidRPr="00CD1D19">
        <w:t xml:space="preserve"> of </w:t>
      </w:r>
      <w:r w:rsidR="00D55D23">
        <w:t>ownership/</w:t>
      </w:r>
      <w:r w:rsidRPr="00CD1D19">
        <w:t xml:space="preserve">property rights and </w:t>
      </w:r>
      <w:r w:rsidR="00D55D23">
        <w:t>contractual title transfer</w:t>
      </w:r>
      <w:r w:rsidRPr="00CD1D19">
        <w:t>.</w:t>
      </w:r>
    </w:p>
    <w:p w14:paraId="36E289D3" w14:textId="59A02D1E" w:rsidR="00865545" w:rsidRPr="006A2867" w:rsidRDefault="19B4FCFD" w:rsidP="00996300">
      <w:pPr>
        <w:keepNext/>
        <w:widowControl w:val="0"/>
        <w:spacing w:after="120"/>
        <w:ind w:firstLine="720"/>
      </w:pPr>
      <w:r>
        <w:t xml:space="preserve">The TTTC </w:t>
      </w:r>
      <w:r w:rsidR="00954D67">
        <w:t>recognize</w:t>
      </w:r>
      <w:r w:rsidR="00B46420">
        <w:t>s</w:t>
      </w:r>
      <w:r w:rsidR="00E17A3A">
        <w:t xml:space="preserve"> that</w:t>
      </w:r>
      <w:r w:rsidR="00954D67">
        <w:t xml:space="preserve"> owners have the right to convey their resources by consent, </w:t>
      </w:r>
      <w:r w:rsidR="008434B7">
        <w:t>rooted in their ownership rights of exclusion,</w:t>
      </w:r>
      <w:r w:rsidR="00954D67">
        <w:t xml:space="preserve"> without </w:t>
      </w:r>
      <w:r w:rsidR="00E17A3A">
        <w:t xml:space="preserve">invoking problematic reliance-based arguments or </w:t>
      </w:r>
      <w:r w:rsidR="00954D67">
        <w:t xml:space="preserve">viewing promises as creating </w:t>
      </w:r>
      <w:r w:rsidR="000370CB">
        <w:t>legally b</w:t>
      </w:r>
      <w:r w:rsidR="00FF7567">
        <w:t>i</w:t>
      </w:r>
      <w:r w:rsidR="000370CB">
        <w:t xml:space="preserve">nding </w:t>
      </w:r>
      <w:r w:rsidR="00954D67">
        <w:t xml:space="preserve">obligations. </w:t>
      </w:r>
      <w:r>
        <w:t>It</w:t>
      </w:r>
      <w:r w:rsidR="00954D67">
        <w:t xml:space="preserve"> does not require consideration, as owners are free to transfer their property to others for any reason, whether gratuitous or not. It thus</w:t>
      </w:r>
      <w:r>
        <w:t xml:space="preserve"> permits gratuitous contracts without inventing arcane doctrines or burdensome formalities. It also provides a conceptually </w:t>
      </w:r>
      <w:r w:rsidR="0075234A">
        <w:t>more</w:t>
      </w:r>
      <w:r>
        <w:t xml:space="preserve"> elegant theory of contract</w:t>
      </w:r>
      <w:r w:rsidR="003D50B6">
        <w:t>, rooted in property rights,</w:t>
      </w:r>
      <w:r>
        <w:t xml:space="preserve"> that can provide </w:t>
      </w:r>
      <w:r w:rsidR="006E399A">
        <w:t>“</w:t>
      </w:r>
      <w:r>
        <w:t>damages</w:t>
      </w:r>
      <w:r w:rsidR="006E399A">
        <w:t xml:space="preserve">” when one party does not perform a promised action, </w:t>
      </w:r>
      <w:proofErr w:type="gramStart"/>
      <w:r>
        <w:t>similar to</w:t>
      </w:r>
      <w:proofErr w:type="gramEnd"/>
      <w:r>
        <w:t xml:space="preserve"> modern legal systems.</w:t>
      </w:r>
      <w:r w:rsidR="005E4E8D">
        <w:t xml:space="preserve"> It eliminates the concept of breach of contract</w:t>
      </w:r>
      <w:r w:rsidR="00775A88">
        <w:t xml:space="preserve">, thus avoiding the need for the “efficient breach of contract” theory of the law and economics </w:t>
      </w:r>
      <w:r w:rsidR="00D1674F">
        <w:t>scholars</w:t>
      </w:r>
      <w:r w:rsidR="005E4E8D">
        <w:t>.</w:t>
      </w:r>
    </w:p>
    <w:p w14:paraId="1FB7EF98" w14:textId="77777777" w:rsidR="00E05E5D" w:rsidRDefault="00865545" w:rsidP="00996300">
      <w:pPr>
        <w:widowControl w:val="0"/>
        <w:spacing w:after="120"/>
        <w:ind w:firstLine="720"/>
      </w:pPr>
      <w:r w:rsidRPr="006A2867">
        <w:t xml:space="preserve">This view of contract also solves the problems of voluntary slavery contracts and debtors’ prison and avoids convoluted arguments for inalienability. </w:t>
      </w:r>
      <w:r w:rsidR="00E05E5D">
        <w:t>T</w:t>
      </w:r>
      <w:r w:rsidRPr="006A2867">
        <w:t xml:space="preserve">he framework presented herein </w:t>
      </w:r>
      <w:r w:rsidR="00E05E5D">
        <w:t xml:space="preserve">also </w:t>
      </w:r>
      <w:r w:rsidRPr="006A2867">
        <w:t>provides a justification for outlawing fraud.</w:t>
      </w:r>
      <w:r w:rsidR="003D50B6">
        <w:t xml:space="preserve"> </w:t>
      </w:r>
    </w:p>
    <w:p w14:paraId="429D8F1D" w14:textId="11BEF5F0" w:rsidR="00865545" w:rsidRDefault="00E05E5D" w:rsidP="00996300">
      <w:pPr>
        <w:widowControl w:val="0"/>
        <w:spacing w:after="120"/>
        <w:ind w:firstLine="720"/>
      </w:pPr>
      <w:r>
        <w:t>Future research to further develop this theory could involve determining to what extent this approach is compatible with the consent theory of contract of Barnett (1986</w:t>
      </w:r>
      <w:r w:rsidR="00D31F5F">
        <w:t>a</w:t>
      </w:r>
      <w:r>
        <w:t>).</w:t>
      </w:r>
      <w:r w:rsidR="0055365F">
        <w:rPr>
          <w:rStyle w:val="FootnoteReference"/>
        </w:rPr>
        <w:footnoteReference w:id="17"/>
      </w:r>
      <w:r>
        <w:t xml:space="preserve"> In addition, scholars could identify aspects of conventional contract law that appear to be unjustified </w:t>
      </w:r>
      <w:proofErr w:type="gramStart"/>
      <w:r>
        <w:t>in light of</w:t>
      </w:r>
      <w:proofErr w:type="gramEnd"/>
      <w:r>
        <w:t xml:space="preserve"> the TTTC. </w:t>
      </w:r>
      <w:r w:rsidR="00296C32">
        <w:t>The view of fraud laid out here in light of the TTTC could be used to examine various accusations of “fraud” by proponents of intellectual property (who sometimes argue that acts of copying are “fraudulent” and thus patent and copyright laws are justified</w:t>
      </w:r>
      <w:r w:rsidR="000A1607">
        <w:t>; see Kinsella (</w:t>
      </w:r>
      <w:r w:rsidR="00E05864">
        <w:t>2009</w:t>
      </w:r>
      <w:r w:rsidR="00F93342">
        <w:t xml:space="preserve">; </w:t>
      </w:r>
      <w:r w:rsidR="00E05864">
        <w:t>2016</w:t>
      </w:r>
      <w:r w:rsidR="000A1607">
        <w:t>)</w:t>
      </w:r>
      <w:r w:rsidR="00296C32">
        <w:t>) and by opponents of fractional reserve banking (who oppose fractional reserve banking on Austrian economic grounds but who also argue that the practice is inherently fraudulent; see</w:t>
      </w:r>
      <w:r w:rsidR="00F17710">
        <w:t xml:space="preserve"> </w:t>
      </w:r>
      <w:r w:rsidR="00FA683A">
        <w:t xml:space="preserve">Rothbard (2008, pp.  93, 97, 99, 290 </w:t>
      </w:r>
      <w:r w:rsidR="00FA683A" w:rsidRPr="00FA683A">
        <w:rPr>
          <w:i/>
          <w:iCs/>
        </w:rPr>
        <w:t>et pass</w:t>
      </w:r>
      <w:r w:rsidR="00FA683A">
        <w:t>.)</w:t>
      </w:r>
      <w:r w:rsidR="00D20633">
        <w:t xml:space="preserve">, </w:t>
      </w:r>
      <w:r w:rsidR="00F17710">
        <w:t>Hoppe (2006</w:t>
      </w:r>
      <w:r w:rsidR="008457F3">
        <w:t>b</w:t>
      </w:r>
      <w:r w:rsidR="00D20633">
        <w:t>),</w:t>
      </w:r>
      <w:r w:rsidR="007A233E">
        <w:t xml:space="preserve"> Hoppe</w:t>
      </w:r>
      <w:r w:rsidR="00FD7CD8">
        <w:t xml:space="preserve">, </w:t>
      </w:r>
      <w:r w:rsidR="00FD7CD8" w:rsidRPr="007E42E3">
        <w:t>Hülsmann</w:t>
      </w:r>
      <w:r w:rsidR="00F93342" w:rsidRPr="007E42E3">
        <w:t xml:space="preserve"> and</w:t>
      </w:r>
      <w:r w:rsidR="007E42E3">
        <w:t xml:space="preserve"> </w:t>
      </w:r>
      <w:r w:rsidR="00FD7CD8" w:rsidRPr="007E42E3">
        <w:t>Block</w:t>
      </w:r>
      <w:r w:rsidR="007A233E">
        <w:t xml:space="preserve"> (2006, p</w:t>
      </w:r>
      <w:r w:rsidR="004B208C">
        <w:t>p</w:t>
      </w:r>
      <w:r w:rsidR="007A233E">
        <w:t xml:space="preserve">. </w:t>
      </w:r>
      <w:r w:rsidR="004B208C">
        <w:t>207–34</w:t>
      </w:r>
      <w:r w:rsidR="007A233E">
        <w:t>)</w:t>
      </w:r>
      <w:r w:rsidR="00D20633">
        <w:t>,</w:t>
      </w:r>
      <w:r w:rsidR="007A233E">
        <w:t xml:space="preserve"> Hue</w:t>
      </w:r>
      <w:r w:rsidR="004B208C">
        <w:t>r</w:t>
      </w:r>
      <w:r w:rsidR="007A233E">
        <w:t xml:space="preserve">ta de Soto (2020, </w:t>
      </w:r>
      <w:r w:rsidR="00FF3DE2">
        <w:t>pp. 9, 31,</w:t>
      </w:r>
      <w:r w:rsidR="0010420F">
        <w:t xml:space="preserve"> 155</w:t>
      </w:r>
      <w:r w:rsidR="005B41F8">
        <w:t>, 749</w:t>
      </w:r>
      <w:r w:rsidR="00525911">
        <w:t>, 753</w:t>
      </w:r>
      <w:r w:rsidR="00296C32">
        <w:t>)</w:t>
      </w:r>
      <w:r w:rsidR="00D20633">
        <w:t xml:space="preserve">, Hülsmann </w:t>
      </w:r>
      <w:r w:rsidR="00D20633" w:rsidRPr="007E42E3">
        <w:t>(2002/03</w:t>
      </w:r>
      <w:r w:rsidR="00D20633" w:rsidRPr="00AC3256">
        <w:t>)</w:t>
      </w:r>
      <w:r w:rsidR="00296C32" w:rsidRPr="00AC3256">
        <w:t>.</w:t>
      </w:r>
      <w:r w:rsidR="00296C32">
        <w:t xml:space="preserve"> </w:t>
      </w:r>
      <w:r>
        <w:t xml:space="preserve">Finally, work could be done to identify aspects of property and contract law that are difficult to explain or justify under the standard approach but that could be </w:t>
      </w:r>
      <w:r w:rsidR="00E9557B">
        <w:t>explained under</w:t>
      </w:r>
      <w:r>
        <w:t xml:space="preserve"> the TTTC, such as restrictive covenants, co-ownership arrangements,</w:t>
      </w:r>
      <w:r w:rsidR="009249AA">
        <w:t xml:space="preserve"> trusts,</w:t>
      </w:r>
      <w:r>
        <w:t xml:space="preserve"> corporations</w:t>
      </w:r>
      <w:r w:rsidR="00EE1AE0">
        <w:t xml:space="preserve"> and partnerships</w:t>
      </w:r>
      <w:r>
        <w:t>, and so on.</w:t>
      </w:r>
    </w:p>
    <w:p w14:paraId="7CCF7F87" w14:textId="42A201F6" w:rsidR="008E1012" w:rsidRDefault="008E1012" w:rsidP="00996300">
      <w:pPr>
        <w:spacing w:before="360" w:after="120"/>
        <w:rPr>
          <w:b/>
          <w:bCs/>
        </w:rPr>
      </w:pPr>
      <w:r w:rsidRPr="008E1012">
        <w:rPr>
          <w:b/>
          <w:bCs/>
        </w:rPr>
        <w:t>References</w:t>
      </w:r>
    </w:p>
    <w:p w14:paraId="4D629BAE" w14:textId="35E4ECE1" w:rsidR="00AF7487" w:rsidRPr="00076D87" w:rsidRDefault="00097B64" w:rsidP="007E42E3">
      <w:pPr>
        <w:ind w:left="432" w:hanging="432"/>
        <w:rPr>
          <w:sz w:val="22"/>
          <w:szCs w:val="22"/>
        </w:rPr>
      </w:pPr>
      <w:r w:rsidRPr="00076D87">
        <w:rPr>
          <w:sz w:val="22"/>
          <w:szCs w:val="22"/>
        </w:rPr>
        <w:t xml:space="preserve">Atiyah, P. </w:t>
      </w:r>
      <w:r w:rsidR="00AF7487" w:rsidRPr="00076D87">
        <w:rPr>
          <w:sz w:val="22"/>
          <w:szCs w:val="22"/>
        </w:rPr>
        <w:t xml:space="preserve">(1979) </w:t>
      </w:r>
      <w:r w:rsidR="00AF7487" w:rsidRPr="00076D87">
        <w:rPr>
          <w:i/>
          <w:iCs/>
          <w:sz w:val="22"/>
          <w:szCs w:val="22"/>
        </w:rPr>
        <w:t>The Rise and Fall of Freedom of Contract</w:t>
      </w:r>
      <w:r w:rsidR="002D5F69" w:rsidRPr="00076D87">
        <w:rPr>
          <w:sz w:val="22"/>
          <w:szCs w:val="22"/>
        </w:rPr>
        <w:t xml:space="preserve">. </w:t>
      </w:r>
      <w:r w:rsidR="000D546C" w:rsidRPr="00076D87">
        <w:rPr>
          <w:sz w:val="22"/>
          <w:szCs w:val="22"/>
        </w:rPr>
        <w:t>Oxford: Oxford University Press</w:t>
      </w:r>
    </w:p>
    <w:p w14:paraId="11104DA2" w14:textId="1C306C69" w:rsidR="000D546C" w:rsidRPr="00076D87" w:rsidRDefault="000D546C" w:rsidP="007E42E3">
      <w:pPr>
        <w:ind w:left="432" w:hanging="432"/>
        <w:rPr>
          <w:sz w:val="22"/>
          <w:szCs w:val="22"/>
        </w:rPr>
      </w:pPr>
      <w:r w:rsidRPr="00076D87">
        <w:rPr>
          <w:sz w:val="22"/>
          <w:szCs w:val="22"/>
        </w:rPr>
        <w:t xml:space="preserve">—— (1981) </w:t>
      </w:r>
      <w:r w:rsidRPr="00076D87">
        <w:rPr>
          <w:i/>
          <w:iCs/>
          <w:sz w:val="22"/>
          <w:szCs w:val="22"/>
        </w:rPr>
        <w:t>Promises, Morals, and Law</w:t>
      </w:r>
      <w:r w:rsidRPr="00076D87">
        <w:rPr>
          <w:sz w:val="22"/>
          <w:szCs w:val="22"/>
        </w:rPr>
        <w:t>. Oxford: Oxford University Press</w:t>
      </w:r>
    </w:p>
    <w:p w14:paraId="3B04E18C" w14:textId="0B5DDA36" w:rsidR="006021C2" w:rsidRPr="00076D87" w:rsidRDefault="006021C2" w:rsidP="00996300">
      <w:pPr>
        <w:ind w:left="432" w:hanging="432"/>
        <w:rPr>
          <w:sz w:val="22"/>
          <w:szCs w:val="22"/>
        </w:rPr>
      </w:pPr>
      <w:bookmarkStart w:id="74" w:name="OLE_LINK796"/>
      <w:bookmarkStart w:id="75" w:name="OLE_LINK797"/>
      <w:bookmarkStart w:id="76" w:name="OLE_LINK808"/>
      <w:bookmarkStart w:id="77" w:name="OLE_LINK798"/>
      <w:bookmarkStart w:id="78" w:name="OLE_LINK799"/>
      <w:bookmarkStart w:id="79" w:name="OLE_LINK821"/>
      <w:bookmarkStart w:id="80" w:name="OLE_LINK822"/>
      <w:bookmarkStart w:id="81" w:name="OLE_LINK784"/>
      <w:bookmarkStart w:id="82" w:name="OLE_LINK785"/>
      <w:r w:rsidRPr="00076D87">
        <w:rPr>
          <w:i/>
          <w:iCs/>
          <w:sz w:val="22"/>
          <w:szCs w:val="22"/>
        </w:rPr>
        <w:t>Bailey v. State of Alabama</w:t>
      </w:r>
      <w:bookmarkEnd w:id="74"/>
      <w:bookmarkEnd w:id="75"/>
      <w:bookmarkEnd w:id="76"/>
      <w:r w:rsidRPr="00076D87">
        <w:rPr>
          <w:sz w:val="22"/>
          <w:szCs w:val="22"/>
        </w:rPr>
        <w:t xml:space="preserve"> (1911)</w:t>
      </w:r>
      <w:bookmarkEnd w:id="77"/>
      <w:bookmarkEnd w:id="78"/>
      <w:r w:rsidRPr="00076D87">
        <w:rPr>
          <w:sz w:val="22"/>
          <w:szCs w:val="22"/>
        </w:rPr>
        <w:t xml:space="preserve"> 219 U.S. 219</w:t>
      </w:r>
      <w:r w:rsidR="00FB792A" w:rsidRPr="00076D87">
        <w:rPr>
          <w:sz w:val="22"/>
          <w:szCs w:val="22"/>
        </w:rPr>
        <w:t xml:space="preserve">; </w:t>
      </w:r>
      <w:hyperlink r:id="rId11" w:history="1">
        <w:r w:rsidR="00FB792A" w:rsidRPr="00076D87">
          <w:rPr>
            <w:rStyle w:val="Hyperlink"/>
            <w:sz w:val="22"/>
            <w:szCs w:val="22"/>
          </w:rPr>
          <w:t>https://en.wikipedia.org/wiki/Bailey_v._Alabama</w:t>
        </w:r>
      </w:hyperlink>
      <w:r w:rsidR="00FB792A" w:rsidRPr="00076D87">
        <w:rPr>
          <w:sz w:val="22"/>
          <w:szCs w:val="22"/>
        </w:rPr>
        <w:t xml:space="preserve"> </w:t>
      </w:r>
      <w:bookmarkEnd w:id="79"/>
      <w:bookmarkEnd w:id="80"/>
    </w:p>
    <w:p w14:paraId="35BA3704" w14:textId="16A0BB5D" w:rsidR="00971F26" w:rsidRPr="003530F9" w:rsidRDefault="00F91F9F" w:rsidP="007E42E3">
      <w:pPr>
        <w:ind w:left="432" w:hanging="432"/>
        <w:rPr>
          <w:rStyle w:val="Hyperlink"/>
          <w:sz w:val="22"/>
          <w:szCs w:val="22"/>
        </w:rPr>
      </w:pPr>
      <w:r w:rsidRPr="00076D87">
        <w:rPr>
          <w:sz w:val="22"/>
          <w:szCs w:val="22"/>
        </w:rPr>
        <w:t>Barnett</w:t>
      </w:r>
      <w:r w:rsidR="004F502D" w:rsidRPr="00076D87">
        <w:rPr>
          <w:sz w:val="22"/>
          <w:szCs w:val="22"/>
        </w:rPr>
        <w:t xml:space="preserve">, R. </w:t>
      </w:r>
      <w:r w:rsidR="00777BD6" w:rsidRPr="00076D87">
        <w:rPr>
          <w:sz w:val="22"/>
          <w:szCs w:val="22"/>
        </w:rPr>
        <w:t>(1986</w:t>
      </w:r>
      <w:r w:rsidR="00194363" w:rsidRPr="00076D87">
        <w:rPr>
          <w:sz w:val="22"/>
          <w:szCs w:val="22"/>
        </w:rPr>
        <w:t>a</w:t>
      </w:r>
      <w:r w:rsidR="00777BD6" w:rsidRPr="00076D87">
        <w:rPr>
          <w:sz w:val="22"/>
          <w:szCs w:val="22"/>
        </w:rPr>
        <w:t xml:space="preserve">) </w:t>
      </w:r>
      <w:r w:rsidR="004F502D" w:rsidRPr="00076D87">
        <w:rPr>
          <w:sz w:val="22"/>
          <w:szCs w:val="22"/>
        </w:rPr>
        <w:t>“A Consent Theory of Contract</w:t>
      </w:r>
      <w:r w:rsidR="00AF71BB" w:rsidRPr="00076D87">
        <w:rPr>
          <w:sz w:val="22"/>
          <w:szCs w:val="22"/>
        </w:rPr>
        <w:t>.</w:t>
      </w:r>
      <w:r w:rsidR="004F502D" w:rsidRPr="00076D87">
        <w:rPr>
          <w:sz w:val="22"/>
          <w:szCs w:val="22"/>
        </w:rPr>
        <w:t>”</w:t>
      </w:r>
      <w:r w:rsidR="00971F26" w:rsidRPr="00076D87">
        <w:rPr>
          <w:sz w:val="22"/>
          <w:szCs w:val="22"/>
        </w:rPr>
        <w:t xml:space="preserve"> </w:t>
      </w:r>
      <w:r w:rsidR="00971F26" w:rsidRPr="00076D87">
        <w:rPr>
          <w:i/>
          <w:iCs/>
          <w:sz w:val="22"/>
          <w:szCs w:val="22"/>
        </w:rPr>
        <w:t>Colum. L. Rev</w:t>
      </w:r>
      <w:r w:rsidR="00971F26" w:rsidRPr="00076D87">
        <w:rPr>
          <w:sz w:val="22"/>
          <w:szCs w:val="22"/>
        </w:rPr>
        <w:t>. 86</w:t>
      </w:r>
      <w:r w:rsidR="00FA744B" w:rsidRPr="00076D87">
        <w:rPr>
          <w:sz w:val="22"/>
          <w:szCs w:val="22"/>
        </w:rPr>
        <w:t>:</w:t>
      </w:r>
      <w:r w:rsidR="00B16EAE" w:rsidRPr="00076D87">
        <w:rPr>
          <w:sz w:val="22"/>
          <w:szCs w:val="22"/>
        </w:rPr>
        <w:t xml:space="preserve"> </w:t>
      </w:r>
      <w:r w:rsidR="00971F26" w:rsidRPr="00076D87">
        <w:rPr>
          <w:sz w:val="22"/>
          <w:szCs w:val="22"/>
        </w:rPr>
        <w:t>269–321</w:t>
      </w:r>
      <w:r w:rsidR="00FA744B" w:rsidRPr="00076D87">
        <w:rPr>
          <w:sz w:val="22"/>
          <w:szCs w:val="22"/>
        </w:rPr>
        <w:t xml:space="preserve">; </w:t>
      </w:r>
      <w:bookmarkStart w:id="83" w:name="OLE_LINK480"/>
      <w:bookmarkStart w:id="84" w:name="OLE_LINK481"/>
      <w:r w:rsidR="003A53D1" w:rsidRPr="003530F9">
        <w:rPr>
          <w:sz w:val="22"/>
          <w:szCs w:val="22"/>
        </w:rPr>
        <w:fldChar w:fldCharType="begin"/>
      </w:r>
      <w:r w:rsidR="003A53D1" w:rsidRPr="00076D87">
        <w:rPr>
          <w:sz w:val="22"/>
          <w:szCs w:val="22"/>
        </w:rPr>
        <w:instrText>HYPERLINK "http://www.randybarnett.com/pre-2000"</w:instrText>
      </w:r>
      <w:r w:rsidR="003A53D1" w:rsidRPr="008445AC">
        <w:rPr>
          <w:sz w:val="22"/>
          <w:szCs w:val="22"/>
        </w:rPr>
      </w:r>
      <w:r w:rsidR="003A53D1" w:rsidRPr="003530F9">
        <w:fldChar w:fldCharType="separate"/>
      </w:r>
      <w:r w:rsidR="003A53D1" w:rsidRPr="00076D87">
        <w:rPr>
          <w:rStyle w:val="Hyperlink"/>
          <w:sz w:val="22"/>
          <w:szCs w:val="22"/>
        </w:rPr>
        <w:t>www.randybarnett.com/pre-2000</w:t>
      </w:r>
      <w:r w:rsidR="003A53D1" w:rsidRPr="00076D87">
        <w:rPr>
          <w:rStyle w:val="Hyperlink"/>
          <w:sz w:val="22"/>
          <w:szCs w:val="22"/>
        </w:rPr>
        <w:fldChar w:fldCharType="end"/>
      </w:r>
      <w:bookmarkEnd w:id="83"/>
      <w:bookmarkEnd w:id="84"/>
    </w:p>
    <w:p w14:paraId="1892BB70" w14:textId="1D20C8F6" w:rsidR="0026088B" w:rsidRPr="00076D87" w:rsidRDefault="0026088B" w:rsidP="00996300">
      <w:pPr>
        <w:ind w:left="432" w:hanging="432"/>
        <w:rPr>
          <w:sz w:val="22"/>
          <w:szCs w:val="22"/>
        </w:rPr>
      </w:pPr>
      <w:r w:rsidRPr="00076D87">
        <w:rPr>
          <w:sz w:val="22"/>
          <w:szCs w:val="22"/>
        </w:rPr>
        <w:lastRenderedPageBreak/>
        <w:t xml:space="preserve">—— </w:t>
      </w:r>
      <w:bookmarkStart w:id="85" w:name="OLE_LINK790"/>
      <w:bookmarkStart w:id="86" w:name="OLE_LINK791"/>
      <w:r w:rsidRPr="00076D87">
        <w:rPr>
          <w:sz w:val="22"/>
          <w:szCs w:val="22"/>
        </w:rPr>
        <w:t xml:space="preserve">(1986b) </w:t>
      </w:r>
      <w:r w:rsidR="00CC4206" w:rsidRPr="00076D87">
        <w:rPr>
          <w:sz w:val="22"/>
          <w:szCs w:val="22"/>
        </w:rPr>
        <w:t>“</w:t>
      </w:r>
      <w:r w:rsidR="003E4159" w:rsidRPr="00076D87">
        <w:rPr>
          <w:sz w:val="22"/>
          <w:szCs w:val="22"/>
        </w:rPr>
        <w:t>Contract Remedies and Inalienable Rights</w:t>
      </w:r>
      <w:r w:rsidR="00CC4206" w:rsidRPr="00076D87">
        <w:rPr>
          <w:sz w:val="22"/>
          <w:szCs w:val="22"/>
        </w:rPr>
        <w:t xml:space="preserve">” </w:t>
      </w:r>
      <w:r w:rsidR="003E4159" w:rsidRPr="00076D87">
        <w:rPr>
          <w:sz w:val="22"/>
          <w:szCs w:val="22"/>
        </w:rPr>
        <w:t xml:space="preserve">in </w:t>
      </w:r>
      <w:r w:rsidR="00CC4206" w:rsidRPr="00076D87">
        <w:rPr>
          <w:sz w:val="22"/>
          <w:szCs w:val="22"/>
        </w:rPr>
        <w:t>“</w:t>
      </w:r>
      <w:r w:rsidR="003E4159" w:rsidRPr="00076D87">
        <w:rPr>
          <w:sz w:val="22"/>
          <w:szCs w:val="22"/>
        </w:rPr>
        <w:t>Symposium on Philosophy and Law</w:t>
      </w:r>
      <w:r w:rsidR="00CC4206" w:rsidRPr="00076D87">
        <w:rPr>
          <w:sz w:val="22"/>
          <w:szCs w:val="22"/>
        </w:rPr>
        <w:t xml:space="preserve">,” </w:t>
      </w:r>
      <w:r w:rsidR="003E4159" w:rsidRPr="00076D87">
        <w:rPr>
          <w:i/>
          <w:iCs/>
          <w:sz w:val="22"/>
          <w:szCs w:val="22"/>
        </w:rPr>
        <w:t>Social Policy and Philosophy</w:t>
      </w:r>
      <w:r w:rsidR="003E4159" w:rsidRPr="00076D87">
        <w:rPr>
          <w:sz w:val="22"/>
          <w:szCs w:val="22"/>
        </w:rPr>
        <w:t xml:space="preserve"> </w:t>
      </w:r>
      <w:r w:rsidR="00CC4206" w:rsidRPr="00076D87">
        <w:rPr>
          <w:sz w:val="22"/>
          <w:szCs w:val="22"/>
        </w:rPr>
        <w:t>4</w:t>
      </w:r>
      <w:bookmarkStart w:id="87" w:name="OLE_LINK492"/>
      <w:bookmarkStart w:id="88" w:name="OLE_LINK493"/>
      <w:r w:rsidR="009F77E6" w:rsidRPr="00076D87">
        <w:rPr>
          <w:sz w:val="22"/>
          <w:szCs w:val="22"/>
        </w:rPr>
        <w:t>, no. 1</w:t>
      </w:r>
      <w:r w:rsidR="00CC4206" w:rsidRPr="00076D87">
        <w:rPr>
          <w:sz w:val="22"/>
          <w:szCs w:val="22"/>
        </w:rPr>
        <w:t xml:space="preserve">: </w:t>
      </w:r>
      <w:r w:rsidR="003E4159" w:rsidRPr="00076D87">
        <w:rPr>
          <w:sz w:val="22"/>
          <w:szCs w:val="22"/>
        </w:rPr>
        <w:t>179</w:t>
      </w:r>
      <w:r w:rsidR="00CC4206" w:rsidRPr="00076D87">
        <w:rPr>
          <w:sz w:val="22"/>
          <w:szCs w:val="22"/>
        </w:rPr>
        <w:t>–</w:t>
      </w:r>
      <w:bookmarkEnd w:id="87"/>
      <w:bookmarkEnd w:id="88"/>
      <w:r w:rsidR="009F77E6" w:rsidRPr="00076D87">
        <w:rPr>
          <w:sz w:val="22"/>
          <w:szCs w:val="22"/>
        </w:rPr>
        <w:t>202</w:t>
      </w:r>
    </w:p>
    <w:p w14:paraId="07066E4D" w14:textId="3BE38DB1" w:rsidR="00CC4206" w:rsidRPr="00076D87" w:rsidRDefault="00CC4206" w:rsidP="00996300">
      <w:pPr>
        <w:ind w:left="432" w:hanging="432"/>
        <w:rPr>
          <w:sz w:val="22"/>
          <w:szCs w:val="22"/>
        </w:rPr>
      </w:pPr>
      <w:bookmarkStart w:id="89" w:name="OLE_LINK482"/>
      <w:bookmarkStart w:id="90" w:name="OLE_LINK483"/>
      <w:r w:rsidRPr="00076D87">
        <w:rPr>
          <w:sz w:val="22"/>
          <w:szCs w:val="22"/>
        </w:rPr>
        <w:t xml:space="preserve">—— (1987) “Squaring Undisclosed Agency Law </w:t>
      </w:r>
      <w:r w:rsidR="00003459" w:rsidRPr="00076D87">
        <w:rPr>
          <w:sz w:val="22"/>
          <w:szCs w:val="22"/>
        </w:rPr>
        <w:t>w</w:t>
      </w:r>
      <w:r w:rsidRPr="00076D87">
        <w:rPr>
          <w:sz w:val="22"/>
          <w:szCs w:val="22"/>
        </w:rPr>
        <w:t xml:space="preserve">ith Contract Theory.” </w:t>
      </w:r>
      <w:r w:rsidRPr="00076D87">
        <w:rPr>
          <w:i/>
          <w:iCs/>
          <w:sz w:val="22"/>
          <w:szCs w:val="22"/>
        </w:rPr>
        <w:t>Cal. L. Rev.</w:t>
      </w:r>
      <w:r w:rsidRPr="00076D87">
        <w:rPr>
          <w:sz w:val="22"/>
          <w:szCs w:val="22"/>
        </w:rPr>
        <w:t xml:space="preserve"> 75: 1969–2003; </w:t>
      </w:r>
      <w:hyperlink r:id="rId12" w:history="1">
        <w:r w:rsidRPr="00076D87">
          <w:rPr>
            <w:rStyle w:val="Hyperlink"/>
            <w:sz w:val="22"/>
            <w:szCs w:val="22"/>
          </w:rPr>
          <w:t>www.randybarnett.com/pre-2000</w:t>
        </w:r>
      </w:hyperlink>
      <w:r w:rsidRPr="00076D87">
        <w:rPr>
          <w:rStyle w:val="Hyperlink"/>
          <w:sz w:val="22"/>
          <w:szCs w:val="22"/>
        </w:rPr>
        <w:t xml:space="preserve"> </w:t>
      </w:r>
    </w:p>
    <w:p w14:paraId="53B6C945" w14:textId="2F40A5F8" w:rsidR="00C77A5C" w:rsidRPr="00076D87" w:rsidRDefault="00C77A5C" w:rsidP="00996300">
      <w:pPr>
        <w:ind w:left="432" w:hanging="432"/>
        <w:rPr>
          <w:sz w:val="22"/>
          <w:szCs w:val="22"/>
        </w:rPr>
      </w:pPr>
      <w:r w:rsidRPr="00076D87">
        <w:rPr>
          <w:sz w:val="22"/>
          <w:szCs w:val="22"/>
        </w:rPr>
        <w:t xml:space="preserve">—— (1991) “Rights and Remedies in a Consent Theory of Contract,” in </w:t>
      </w:r>
      <w:bookmarkStart w:id="91" w:name="OLE_LINK780"/>
      <w:bookmarkStart w:id="92" w:name="OLE_LINK781"/>
      <w:r w:rsidRPr="00076D87">
        <w:rPr>
          <w:sz w:val="22"/>
          <w:szCs w:val="22"/>
        </w:rPr>
        <w:t xml:space="preserve">R.G. Frey </w:t>
      </w:r>
      <w:r w:rsidR="003C34EB" w:rsidRPr="00076D87">
        <w:rPr>
          <w:sz w:val="22"/>
          <w:szCs w:val="22"/>
        </w:rPr>
        <w:t>and</w:t>
      </w:r>
      <w:r w:rsidRPr="00076D87">
        <w:rPr>
          <w:sz w:val="22"/>
          <w:szCs w:val="22"/>
        </w:rPr>
        <w:t xml:space="preserve"> C. Morris,</w:t>
      </w:r>
      <w:r w:rsidR="00CD47AB" w:rsidRPr="00076D87">
        <w:rPr>
          <w:sz w:val="22"/>
          <w:szCs w:val="22"/>
        </w:rPr>
        <w:t xml:space="preserve"> eds., </w:t>
      </w:r>
      <w:bookmarkEnd w:id="91"/>
      <w:bookmarkEnd w:id="92"/>
      <w:r w:rsidR="00EB1B70" w:rsidRPr="00076D87">
        <w:rPr>
          <w:i/>
          <w:iCs/>
          <w:sz w:val="22"/>
          <w:szCs w:val="22"/>
        </w:rPr>
        <w:t>Liability and Responsibility: Essays in Law and Morals</w:t>
      </w:r>
      <w:r w:rsidRPr="00076D87">
        <w:rPr>
          <w:sz w:val="22"/>
          <w:szCs w:val="22"/>
        </w:rPr>
        <w:t>. Cambridge University Press</w:t>
      </w:r>
      <w:bookmarkEnd w:id="85"/>
      <w:bookmarkEnd w:id="86"/>
    </w:p>
    <w:bookmarkEnd w:id="81"/>
    <w:bookmarkEnd w:id="82"/>
    <w:p w14:paraId="3232C73D" w14:textId="61BD0A79" w:rsidR="003A53D1" w:rsidRPr="00076D87" w:rsidRDefault="003A53D1" w:rsidP="007E42E3">
      <w:pPr>
        <w:ind w:left="432" w:hanging="432"/>
        <w:rPr>
          <w:sz w:val="22"/>
          <w:szCs w:val="22"/>
        </w:rPr>
      </w:pPr>
      <w:r w:rsidRPr="00076D87">
        <w:rPr>
          <w:sz w:val="22"/>
          <w:szCs w:val="22"/>
        </w:rPr>
        <w:t xml:space="preserve">—— </w:t>
      </w:r>
      <w:bookmarkEnd w:id="89"/>
      <w:bookmarkEnd w:id="90"/>
      <w:r w:rsidRPr="00076D87">
        <w:rPr>
          <w:sz w:val="22"/>
          <w:szCs w:val="22"/>
        </w:rPr>
        <w:t>(1992) “Some Problems with Contract as Promise</w:t>
      </w:r>
      <w:r w:rsidR="00AF71BB" w:rsidRPr="00076D87">
        <w:rPr>
          <w:sz w:val="22"/>
          <w:szCs w:val="22"/>
        </w:rPr>
        <w:t>.</w:t>
      </w:r>
      <w:r w:rsidRPr="00076D87">
        <w:rPr>
          <w:sz w:val="22"/>
          <w:szCs w:val="22"/>
        </w:rPr>
        <w:t xml:space="preserve">” </w:t>
      </w:r>
      <w:r w:rsidRPr="00076D87">
        <w:rPr>
          <w:i/>
          <w:iCs/>
          <w:sz w:val="22"/>
          <w:szCs w:val="22"/>
        </w:rPr>
        <w:t>Cornell L. Rev</w:t>
      </w:r>
      <w:r w:rsidRPr="00076D87">
        <w:rPr>
          <w:sz w:val="22"/>
          <w:szCs w:val="22"/>
        </w:rPr>
        <w:t>. 77</w:t>
      </w:r>
      <w:r w:rsidR="00B16EAE" w:rsidRPr="00076D87">
        <w:rPr>
          <w:sz w:val="22"/>
          <w:szCs w:val="22"/>
        </w:rPr>
        <w:t>:</w:t>
      </w:r>
      <w:r w:rsidRPr="00076D87">
        <w:rPr>
          <w:sz w:val="22"/>
          <w:szCs w:val="22"/>
        </w:rPr>
        <w:t xml:space="preserve"> 1022–1033; </w:t>
      </w:r>
      <w:hyperlink r:id="rId13" w:history="1">
        <w:r w:rsidRPr="00076D87">
          <w:rPr>
            <w:rStyle w:val="Hyperlink"/>
            <w:sz w:val="22"/>
            <w:szCs w:val="22"/>
          </w:rPr>
          <w:t>www.randybarnett.com/pre-2000</w:t>
        </w:r>
      </w:hyperlink>
      <w:r w:rsidRPr="00076D87">
        <w:rPr>
          <w:sz w:val="22"/>
          <w:szCs w:val="22"/>
        </w:rPr>
        <w:t xml:space="preserve"> </w:t>
      </w:r>
    </w:p>
    <w:p w14:paraId="01412507" w14:textId="2A605166" w:rsidR="003A53D1" w:rsidRPr="00076D87" w:rsidRDefault="003A53D1" w:rsidP="007E42E3">
      <w:pPr>
        <w:ind w:left="432" w:hanging="432"/>
        <w:rPr>
          <w:sz w:val="22"/>
          <w:szCs w:val="22"/>
        </w:rPr>
      </w:pPr>
      <w:r w:rsidRPr="00076D87">
        <w:rPr>
          <w:sz w:val="22"/>
          <w:szCs w:val="22"/>
        </w:rPr>
        <w:t xml:space="preserve">—— (2010) </w:t>
      </w:r>
      <w:r w:rsidRPr="00076D87">
        <w:rPr>
          <w:i/>
          <w:iCs/>
          <w:sz w:val="22"/>
          <w:szCs w:val="22"/>
        </w:rPr>
        <w:t>The Oxford Introductions to U.S. Law: Contracts</w:t>
      </w:r>
      <w:r w:rsidR="002675AB" w:rsidRPr="00076D87">
        <w:rPr>
          <w:sz w:val="22"/>
          <w:szCs w:val="22"/>
        </w:rPr>
        <w:t xml:space="preserve">. </w:t>
      </w:r>
      <w:r w:rsidR="00AB2686" w:rsidRPr="00076D87">
        <w:rPr>
          <w:sz w:val="22"/>
          <w:szCs w:val="22"/>
        </w:rPr>
        <w:t xml:space="preserve">Oxford: </w:t>
      </w:r>
      <w:bookmarkStart w:id="93" w:name="OLE_LINK788"/>
      <w:bookmarkStart w:id="94" w:name="OLE_LINK789"/>
      <w:r w:rsidR="002675AB" w:rsidRPr="00076D87">
        <w:rPr>
          <w:sz w:val="22"/>
          <w:szCs w:val="22"/>
        </w:rPr>
        <w:t>Oxford University Press</w:t>
      </w:r>
      <w:bookmarkEnd w:id="93"/>
      <w:bookmarkEnd w:id="94"/>
    </w:p>
    <w:p w14:paraId="11AF7D84" w14:textId="019D2EE1" w:rsidR="00552A0A" w:rsidRPr="00076D87" w:rsidRDefault="00552A0A" w:rsidP="007E42E3">
      <w:pPr>
        <w:ind w:left="432" w:hanging="432"/>
        <w:rPr>
          <w:sz w:val="22"/>
          <w:szCs w:val="22"/>
        </w:rPr>
      </w:pPr>
      <w:r w:rsidRPr="00076D87">
        <w:rPr>
          <w:sz w:val="22"/>
          <w:szCs w:val="22"/>
        </w:rPr>
        <w:t>—— (2024) Email to Stephan Kinsella, Apr. 24, quoted with permission</w:t>
      </w:r>
    </w:p>
    <w:p w14:paraId="1724E86D" w14:textId="60A79F59" w:rsidR="005D6C5D" w:rsidRPr="00076D87" w:rsidRDefault="00A82A35" w:rsidP="007E42E3">
      <w:pPr>
        <w:ind w:left="432" w:hanging="432"/>
        <w:rPr>
          <w:sz w:val="22"/>
          <w:szCs w:val="22"/>
        </w:rPr>
      </w:pPr>
      <w:r>
        <w:rPr>
          <w:sz w:val="22"/>
          <w:szCs w:val="22"/>
        </w:rPr>
        <w:t>Barnett</w:t>
      </w:r>
      <w:r w:rsidR="00365CB8" w:rsidRPr="00076D87">
        <w:rPr>
          <w:sz w:val="22"/>
          <w:szCs w:val="22"/>
        </w:rPr>
        <w:t xml:space="preserve">, R. </w:t>
      </w:r>
      <w:r w:rsidR="00F93342" w:rsidRPr="00076D87">
        <w:rPr>
          <w:sz w:val="22"/>
          <w:szCs w:val="22"/>
        </w:rPr>
        <w:t>and</w:t>
      </w:r>
      <w:r>
        <w:rPr>
          <w:sz w:val="22"/>
          <w:szCs w:val="22"/>
        </w:rPr>
        <w:t xml:space="preserve"> </w:t>
      </w:r>
      <w:r w:rsidR="00365CB8" w:rsidRPr="00076D87">
        <w:rPr>
          <w:sz w:val="22"/>
          <w:szCs w:val="22"/>
        </w:rPr>
        <w:t>Becker, M. (1987) “Beyond Reliance: Promissory Estoppel, Contract Formalities, and Misrepresentations</w:t>
      </w:r>
      <w:r w:rsidR="00AF71BB" w:rsidRPr="00076D87">
        <w:rPr>
          <w:sz w:val="22"/>
          <w:szCs w:val="22"/>
        </w:rPr>
        <w:t>.</w:t>
      </w:r>
      <w:r w:rsidR="00365CB8" w:rsidRPr="00076D87">
        <w:rPr>
          <w:sz w:val="22"/>
          <w:szCs w:val="22"/>
        </w:rPr>
        <w:t xml:space="preserve">” </w:t>
      </w:r>
      <w:r w:rsidR="00365CB8" w:rsidRPr="00076D87">
        <w:rPr>
          <w:i/>
          <w:iCs/>
          <w:sz w:val="22"/>
          <w:szCs w:val="22"/>
        </w:rPr>
        <w:t>Hofstra L. Rev</w:t>
      </w:r>
      <w:r w:rsidR="00365CB8" w:rsidRPr="00076D87">
        <w:rPr>
          <w:sz w:val="22"/>
          <w:szCs w:val="22"/>
        </w:rPr>
        <w:t xml:space="preserve">. 15: 443–97; </w:t>
      </w:r>
      <w:hyperlink r:id="rId14" w:history="1">
        <w:r w:rsidR="005D6C5D" w:rsidRPr="00076D87">
          <w:rPr>
            <w:rStyle w:val="Hyperlink"/>
            <w:sz w:val="22"/>
            <w:szCs w:val="22"/>
          </w:rPr>
          <w:t>www.randybarnett.com/pre-2000</w:t>
        </w:r>
      </w:hyperlink>
    </w:p>
    <w:p w14:paraId="42246730" w14:textId="53AA960B" w:rsidR="00323EE0" w:rsidRPr="00076D87" w:rsidRDefault="00323EE0" w:rsidP="00996300">
      <w:pPr>
        <w:ind w:left="432" w:hanging="432"/>
        <w:rPr>
          <w:sz w:val="22"/>
          <w:szCs w:val="22"/>
        </w:rPr>
      </w:pPr>
      <w:r w:rsidRPr="00076D87">
        <w:rPr>
          <w:sz w:val="22"/>
          <w:szCs w:val="22"/>
        </w:rPr>
        <w:t>Block,</w:t>
      </w:r>
      <w:r w:rsidR="006E34EE" w:rsidRPr="00076D87">
        <w:rPr>
          <w:sz w:val="22"/>
          <w:szCs w:val="22"/>
        </w:rPr>
        <w:t xml:space="preserve"> W. (</w:t>
      </w:r>
      <w:r w:rsidRPr="00076D87">
        <w:rPr>
          <w:sz w:val="22"/>
          <w:szCs w:val="22"/>
        </w:rPr>
        <w:t xml:space="preserve">2003) </w:t>
      </w:r>
      <w:r w:rsidR="0037733F" w:rsidRPr="00076D87">
        <w:rPr>
          <w:sz w:val="22"/>
          <w:szCs w:val="22"/>
        </w:rPr>
        <w:t xml:space="preserve">“Toward a Libertarian Theory of Inalienability: A Critique of Rothbard, Barnett, Smith, Kinsella, Gordon, and Epstein,” </w:t>
      </w:r>
      <w:r w:rsidR="0037733F" w:rsidRPr="00076D87">
        <w:rPr>
          <w:i/>
          <w:iCs/>
          <w:sz w:val="22"/>
          <w:szCs w:val="22"/>
        </w:rPr>
        <w:t xml:space="preserve">J. </w:t>
      </w:r>
      <w:r w:rsidR="00E4354E" w:rsidRPr="00076D87">
        <w:rPr>
          <w:i/>
          <w:iCs/>
          <w:sz w:val="22"/>
          <w:szCs w:val="22"/>
        </w:rPr>
        <w:t>Libertarian Stud</w:t>
      </w:r>
      <w:r w:rsidR="0037733F" w:rsidRPr="00076D87">
        <w:rPr>
          <w:sz w:val="22"/>
          <w:szCs w:val="22"/>
        </w:rPr>
        <w:t xml:space="preserve">. </w:t>
      </w:r>
      <w:r w:rsidR="00E4354E" w:rsidRPr="00076D87">
        <w:rPr>
          <w:sz w:val="22"/>
          <w:szCs w:val="22"/>
        </w:rPr>
        <w:t>17, no. 2 (Spring)</w:t>
      </w:r>
      <w:r w:rsidR="0037733F" w:rsidRPr="00076D87">
        <w:rPr>
          <w:sz w:val="22"/>
          <w:szCs w:val="22"/>
        </w:rPr>
        <w:t xml:space="preserve">: </w:t>
      </w:r>
      <w:r w:rsidR="00E4354E" w:rsidRPr="00076D87">
        <w:rPr>
          <w:sz w:val="22"/>
          <w:szCs w:val="22"/>
        </w:rPr>
        <w:t>39–85</w:t>
      </w:r>
      <w:r w:rsidRPr="00076D87">
        <w:rPr>
          <w:sz w:val="22"/>
          <w:szCs w:val="22"/>
        </w:rPr>
        <w:t xml:space="preserve">; </w:t>
      </w:r>
      <w:hyperlink r:id="rId15" w:history="1">
        <w:r w:rsidRPr="00076D87">
          <w:rPr>
            <w:rStyle w:val="Hyperlink"/>
            <w:sz w:val="22"/>
            <w:szCs w:val="22"/>
          </w:rPr>
          <w:t>https://mises.org/journal-libertarian-studies/toward-libertarian-theory-inalienability-critique-rothbard-barnett-smith-kinsella-gordon-and-epstein</w:t>
        </w:r>
      </w:hyperlink>
      <w:r w:rsidRPr="00076D87">
        <w:rPr>
          <w:sz w:val="22"/>
          <w:szCs w:val="22"/>
        </w:rPr>
        <w:t xml:space="preserve"> </w:t>
      </w:r>
    </w:p>
    <w:p w14:paraId="16D3985A" w14:textId="1C705CEE" w:rsidR="000E7BA1" w:rsidRPr="00076D87" w:rsidRDefault="000E7BA1" w:rsidP="007E42E3">
      <w:pPr>
        <w:ind w:left="432" w:hanging="432"/>
        <w:rPr>
          <w:sz w:val="22"/>
          <w:szCs w:val="22"/>
        </w:rPr>
      </w:pPr>
      <w:r w:rsidRPr="00076D87">
        <w:rPr>
          <w:sz w:val="22"/>
          <w:szCs w:val="22"/>
        </w:rPr>
        <w:t>Böhm-</w:t>
      </w:r>
      <w:proofErr w:type="spellStart"/>
      <w:r w:rsidRPr="00076D87">
        <w:rPr>
          <w:sz w:val="22"/>
          <w:szCs w:val="22"/>
        </w:rPr>
        <w:t>Bawerk</w:t>
      </w:r>
      <w:proofErr w:type="spellEnd"/>
      <w:r w:rsidRPr="00076D87">
        <w:rPr>
          <w:sz w:val="22"/>
          <w:szCs w:val="22"/>
        </w:rPr>
        <w:t>, E. (1962) “Whether Legal Rights and Relationships Are Economic Goods,” G. Huncke, trans., in E</w:t>
      </w:r>
      <w:r w:rsidR="006D1AF8" w:rsidRPr="00076D87">
        <w:rPr>
          <w:sz w:val="22"/>
          <w:szCs w:val="22"/>
        </w:rPr>
        <w:t>.</w:t>
      </w:r>
      <w:r w:rsidRPr="00076D87">
        <w:rPr>
          <w:sz w:val="22"/>
          <w:szCs w:val="22"/>
        </w:rPr>
        <w:t xml:space="preserve"> Böhm-</w:t>
      </w:r>
      <w:proofErr w:type="spellStart"/>
      <w:r w:rsidRPr="00076D87">
        <w:rPr>
          <w:sz w:val="22"/>
          <w:szCs w:val="22"/>
        </w:rPr>
        <w:t>Bawerk</w:t>
      </w:r>
      <w:proofErr w:type="spellEnd"/>
      <w:r w:rsidRPr="00076D87">
        <w:rPr>
          <w:sz w:val="22"/>
          <w:szCs w:val="22"/>
        </w:rPr>
        <w:t xml:space="preserve">, </w:t>
      </w:r>
      <w:r w:rsidRPr="00076D87">
        <w:rPr>
          <w:i/>
          <w:iCs/>
          <w:sz w:val="22"/>
          <w:szCs w:val="22"/>
        </w:rPr>
        <w:t>Shorter Classics of Eugen von Böhm-</w:t>
      </w:r>
      <w:proofErr w:type="spellStart"/>
      <w:r w:rsidRPr="00076D87">
        <w:rPr>
          <w:i/>
          <w:iCs/>
          <w:sz w:val="22"/>
          <w:szCs w:val="22"/>
        </w:rPr>
        <w:t>Bawerk</w:t>
      </w:r>
      <w:proofErr w:type="spellEnd"/>
      <w:r w:rsidRPr="00076D87">
        <w:rPr>
          <w:sz w:val="22"/>
          <w:szCs w:val="22"/>
        </w:rPr>
        <w:t xml:space="preserve"> (South Holland, Ill.: Libertarian Press, 1962) </w:t>
      </w:r>
    </w:p>
    <w:p w14:paraId="18F9A537" w14:textId="427DEAE7" w:rsidR="004E246B" w:rsidRPr="00076D87" w:rsidRDefault="004E246B" w:rsidP="007E42E3">
      <w:pPr>
        <w:ind w:left="432" w:hanging="432"/>
        <w:rPr>
          <w:sz w:val="22"/>
          <w:szCs w:val="22"/>
          <w:lang w:val="es-ES"/>
        </w:rPr>
      </w:pPr>
      <w:bookmarkStart w:id="95" w:name="OLE_LINK817"/>
      <w:bookmarkStart w:id="96" w:name="OLE_LINK818"/>
      <w:r w:rsidRPr="00076D87">
        <w:rPr>
          <w:sz w:val="22"/>
          <w:szCs w:val="22"/>
        </w:rPr>
        <w:t xml:space="preserve">Bosch, P. (1969) “Enforcement Problems of Personal Service Contracts Professional Athletics.” </w:t>
      </w:r>
      <w:r w:rsidRPr="00076D87">
        <w:rPr>
          <w:i/>
          <w:iCs/>
          <w:sz w:val="22"/>
          <w:szCs w:val="22"/>
          <w:lang w:val="es-ES"/>
        </w:rPr>
        <w:t>Tulsa L. Rev</w:t>
      </w:r>
      <w:r w:rsidRPr="00076D87">
        <w:rPr>
          <w:sz w:val="22"/>
          <w:szCs w:val="22"/>
          <w:lang w:val="es-ES"/>
        </w:rPr>
        <w:t xml:space="preserve">. 6, no. 1: </w:t>
      </w:r>
      <w:r w:rsidR="005D6C5D" w:rsidRPr="00076D87">
        <w:rPr>
          <w:sz w:val="22"/>
          <w:szCs w:val="22"/>
          <w:lang w:val="es-ES"/>
        </w:rPr>
        <w:t xml:space="preserve">pp. </w:t>
      </w:r>
      <w:r w:rsidRPr="00076D87">
        <w:rPr>
          <w:sz w:val="22"/>
          <w:szCs w:val="22"/>
          <w:lang w:val="es-ES"/>
        </w:rPr>
        <w:t xml:space="preserve">40–60. </w:t>
      </w:r>
      <w:hyperlink r:id="rId16" w:history="1">
        <w:r w:rsidRPr="00076D87">
          <w:rPr>
            <w:rStyle w:val="Hyperlink"/>
            <w:sz w:val="22"/>
            <w:szCs w:val="22"/>
            <w:lang w:val="es-ES"/>
          </w:rPr>
          <w:t>https://digitalcommons.law.utulsa.edu/tlr/vol6/iss1/4/</w:t>
        </w:r>
      </w:hyperlink>
      <w:r w:rsidRPr="00076D87">
        <w:rPr>
          <w:sz w:val="22"/>
          <w:szCs w:val="22"/>
          <w:lang w:val="es-ES"/>
        </w:rPr>
        <w:t xml:space="preserve"> </w:t>
      </w:r>
    </w:p>
    <w:bookmarkEnd w:id="95"/>
    <w:bookmarkEnd w:id="96"/>
    <w:p w14:paraId="048163D8" w14:textId="165C56EB" w:rsidR="00B7543E" w:rsidRPr="00076D87" w:rsidRDefault="00B7543E" w:rsidP="007E42E3">
      <w:pPr>
        <w:ind w:left="432" w:hanging="432"/>
        <w:rPr>
          <w:sz w:val="22"/>
          <w:szCs w:val="22"/>
        </w:rPr>
      </w:pPr>
      <w:r w:rsidRPr="00076D87">
        <w:rPr>
          <w:sz w:val="22"/>
          <w:szCs w:val="22"/>
        </w:rPr>
        <w:t>Buckley, F. (1988) “</w:t>
      </w:r>
      <w:hyperlink r:id="rId17" w:history="1">
        <w:r w:rsidRPr="00076D87">
          <w:rPr>
            <w:rStyle w:val="Hyperlink"/>
            <w:sz w:val="22"/>
            <w:szCs w:val="22"/>
          </w:rPr>
          <w:t>Paradox Lost</w:t>
        </w:r>
      </w:hyperlink>
      <w:r w:rsidR="00AF71BB" w:rsidRPr="00076D87">
        <w:rPr>
          <w:rStyle w:val="Hyperlink"/>
          <w:sz w:val="22"/>
          <w:szCs w:val="22"/>
        </w:rPr>
        <w:t>.</w:t>
      </w:r>
      <w:r w:rsidRPr="00076D87">
        <w:rPr>
          <w:sz w:val="22"/>
          <w:szCs w:val="22"/>
        </w:rPr>
        <w:t xml:space="preserve">” </w:t>
      </w:r>
      <w:r w:rsidRPr="00076D87">
        <w:rPr>
          <w:i/>
          <w:iCs/>
          <w:sz w:val="22"/>
          <w:szCs w:val="22"/>
        </w:rPr>
        <w:t>Minn. L. Rev.</w:t>
      </w:r>
      <w:r w:rsidRPr="00076D87">
        <w:rPr>
          <w:sz w:val="22"/>
          <w:szCs w:val="22"/>
        </w:rPr>
        <w:t xml:space="preserve"> 72</w:t>
      </w:r>
      <w:r w:rsidR="00B53244" w:rsidRPr="00076D87">
        <w:rPr>
          <w:sz w:val="22"/>
          <w:szCs w:val="22"/>
        </w:rPr>
        <w:t>:</w:t>
      </w:r>
      <w:r w:rsidRPr="00076D87">
        <w:rPr>
          <w:sz w:val="22"/>
          <w:szCs w:val="22"/>
        </w:rPr>
        <w:t xml:space="preserve"> pp. 775–827; </w:t>
      </w:r>
      <w:hyperlink r:id="rId18" w:history="1">
        <w:r w:rsidRPr="00076D87">
          <w:rPr>
            <w:rStyle w:val="Hyperlink"/>
            <w:sz w:val="22"/>
            <w:szCs w:val="22"/>
          </w:rPr>
          <w:t>https://scholarship.law.umn.edu/mlr/1293/</w:t>
        </w:r>
      </w:hyperlink>
    </w:p>
    <w:p w14:paraId="344C944E" w14:textId="7BE1A36A" w:rsidR="000E7BA1" w:rsidRPr="00076D87" w:rsidRDefault="000E7BA1" w:rsidP="007E42E3">
      <w:pPr>
        <w:ind w:left="432" w:hanging="432"/>
        <w:rPr>
          <w:sz w:val="22"/>
          <w:szCs w:val="22"/>
        </w:rPr>
      </w:pPr>
      <w:bookmarkStart w:id="97" w:name="OLE_LINK528"/>
      <w:bookmarkStart w:id="98" w:name="OLE_LINK529"/>
      <w:proofErr w:type="spellStart"/>
      <w:r w:rsidRPr="00076D87">
        <w:rPr>
          <w:sz w:val="22"/>
          <w:szCs w:val="22"/>
        </w:rPr>
        <w:t>Campan</w:t>
      </w:r>
      <w:proofErr w:type="spellEnd"/>
      <w:r w:rsidRPr="00076D87">
        <w:rPr>
          <w:sz w:val="22"/>
          <w:szCs w:val="22"/>
        </w:rPr>
        <w:t xml:space="preserve">, G. (1999) “Does Justice Qualify as an Economic </w:t>
      </w:r>
      <w:proofErr w:type="gramStart"/>
      <w:r w:rsidRPr="00076D87">
        <w:rPr>
          <w:sz w:val="22"/>
          <w:szCs w:val="22"/>
        </w:rPr>
        <w:t>Good?:</w:t>
      </w:r>
      <w:proofErr w:type="gramEnd"/>
      <w:r w:rsidRPr="00076D87">
        <w:rPr>
          <w:sz w:val="22"/>
          <w:szCs w:val="22"/>
        </w:rPr>
        <w:t xml:space="preserve"> A Böhm-</w:t>
      </w:r>
      <w:proofErr w:type="spellStart"/>
      <w:r w:rsidRPr="00076D87">
        <w:rPr>
          <w:sz w:val="22"/>
          <w:szCs w:val="22"/>
        </w:rPr>
        <w:t>Bawerkian</w:t>
      </w:r>
      <w:proofErr w:type="spellEnd"/>
      <w:r w:rsidRPr="00076D87">
        <w:rPr>
          <w:sz w:val="22"/>
          <w:szCs w:val="22"/>
        </w:rPr>
        <w:t xml:space="preserve"> Perspective</w:t>
      </w:r>
      <w:r w:rsidR="00AF71BB" w:rsidRPr="00076D87">
        <w:rPr>
          <w:sz w:val="22"/>
          <w:szCs w:val="22"/>
        </w:rPr>
        <w:t>.</w:t>
      </w:r>
      <w:r w:rsidRPr="00076D87">
        <w:rPr>
          <w:sz w:val="22"/>
          <w:szCs w:val="22"/>
        </w:rPr>
        <w:t xml:space="preserve">” </w:t>
      </w:r>
      <w:r w:rsidRPr="00076D87">
        <w:rPr>
          <w:i/>
          <w:iCs/>
          <w:sz w:val="22"/>
          <w:szCs w:val="22"/>
        </w:rPr>
        <w:t>Q. J. Austrian Econ</w:t>
      </w:r>
      <w:r w:rsidRPr="00076D87">
        <w:rPr>
          <w:sz w:val="22"/>
          <w:szCs w:val="22"/>
        </w:rPr>
        <w:t>. 2, no. 1 (Spring</w:t>
      </w:r>
      <w:r w:rsidR="005D7BEF" w:rsidRPr="00076D87">
        <w:rPr>
          <w:sz w:val="22"/>
          <w:szCs w:val="22"/>
        </w:rPr>
        <w:t>)</w:t>
      </w:r>
      <w:r w:rsidR="00C25450" w:rsidRPr="00076D87">
        <w:rPr>
          <w:sz w:val="22"/>
          <w:szCs w:val="22"/>
        </w:rPr>
        <w:t>: pp. 21–33</w:t>
      </w:r>
      <w:r w:rsidRPr="00076D87">
        <w:rPr>
          <w:sz w:val="22"/>
          <w:szCs w:val="22"/>
        </w:rPr>
        <w:t xml:space="preserve">; </w:t>
      </w:r>
      <w:hyperlink r:id="rId19" w:history="1">
        <w:r w:rsidR="00A679D7" w:rsidRPr="00076D87">
          <w:rPr>
            <w:rStyle w:val="Hyperlink"/>
            <w:sz w:val="22"/>
            <w:szCs w:val="22"/>
          </w:rPr>
          <w:t>https://perma.cc/G3CK-B8WB</w:t>
        </w:r>
      </w:hyperlink>
    </w:p>
    <w:bookmarkEnd w:id="97"/>
    <w:bookmarkEnd w:id="98"/>
    <w:p w14:paraId="153446A9" w14:textId="0D59EB61" w:rsidR="00A679D7" w:rsidRPr="00076D87" w:rsidRDefault="00A679D7" w:rsidP="007E42E3">
      <w:pPr>
        <w:ind w:left="432" w:hanging="432"/>
        <w:rPr>
          <w:sz w:val="22"/>
          <w:szCs w:val="22"/>
        </w:rPr>
      </w:pPr>
      <w:r w:rsidRPr="00076D87">
        <w:rPr>
          <w:sz w:val="22"/>
          <w:szCs w:val="22"/>
        </w:rPr>
        <w:t xml:space="preserve">Corbin, A. (1963) </w:t>
      </w:r>
      <w:r w:rsidRPr="00076D87">
        <w:rPr>
          <w:i/>
          <w:iCs/>
          <w:sz w:val="22"/>
          <w:szCs w:val="22"/>
        </w:rPr>
        <w:t>Corbin on Contracts</w:t>
      </w:r>
      <w:r w:rsidR="006F79A2" w:rsidRPr="00076D87">
        <w:rPr>
          <w:sz w:val="22"/>
          <w:szCs w:val="22"/>
        </w:rPr>
        <w:t>. St. Paul, Minn.: West Publishing Co.</w:t>
      </w:r>
    </w:p>
    <w:p w14:paraId="1360084B" w14:textId="1C23C820" w:rsidR="00150F25" w:rsidRPr="00076D87" w:rsidRDefault="00150F25" w:rsidP="007E42E3">
      <w:pPr>
        <w:ind w:left="432" w:hanging="432"/>
        <w:rPr>
          <w:sz w:val="22"/>
          <w:szCs w:val="22"/>
        </w:rPr>
      </w:pPr>
      <w:r w:rsidRPr="00076D87">
        <w:rPr>
          <w:sz w:val="22"/>
          <w:szCs w:val="22"/>
        </w:rPr>
        <w:t xml:space="preserve">du Plessis, P. (2020) </w:t>
      </w:r>
      <w:r w:rsidRPr="00076D87">
        <w:rPr>
          <w:i/>
          <w:iCs/>
          <w:sz w:val="22"/>
          <w:szCs w:val="22"/>
        </w:rPr>
        <w:t>Borkowski’s Textbook on Roman Law</w:t>
      </w:r>
      <w:r w:rsidRPr="00076D87">
        <w:rPr>
          <w:sz w:val="22"/>
          <w:szCs w:val="22"/>
        </w:rPr>
        <w:t>, 6</w:t>
      </w:r>
      <w:r w:rsidRPr="00076D87">
        <w:rPr>
          <w:sz w:val="22"/>
          <w:szCs w:val="22"/>
          <w:vertAlign w:val="superscript"/>
        </w:rPr>
        <w:t>th</w:t>
      </w:r>
      <w:r w:rsidRPr="00076D87">
        <w:rPr>
          <w:sz w:val="22"/>
          <w:szCs w:val="22"/>
        </w:rPr>
        <w:t xml:space="preserve"> ed. Oxford: Oxford University Press</w:t>
      </w:r>
    </w:p>
    <w:p w14:paraId="5949F470" w14:textId="26B5186C" w:rsidR="00A679D7" w:rsidRPr="00076D87" w:rsidRDefault="00A679D7" w:rsidP="007E42E3">
      <w:pPr>
        <w:ind w:left="432" w:hanging="432"/>
        <w:rPr>
          <w:sz w:val="22"/>
          <w:szCs w:val="22"/>
        </w:rPr>
      </w:pPr>
      <w:r w:rsidRPr="00076D87">
        <w:rPr>
          <w:sz w:val="22"/>
          <w:szCs w:val="22"/>
        </w:rPr>
        <w:t>Eisenberg, M. (1982) “The Principles of Consideration</w:t>
      </w:r>
      <w:r w:rsidR="00AF71BB" w:rsidRPr="00076D87">
        <w:rPr>
          <w:sz w:val="22"/>
          <w:szCs w:val="22"/>
        </w:rPr>
        <w:t>.</w:t>
      </w:r>
      <w:r w:rsidRPr="00076D87">
        <w:rPr>
          <w:sz w:val="22"/>
          <w:szCs w:val="22"/>
        </w:rPr>
        <w:t xml:space="preserve">” </w:t>
      </w:r>
      <w:r w:rsidRPr="00076D87">
        <w:rPr>
          <w:i/>
          <w:iCs/>
          <w:sz w:val="22"/>
          <w:szCs w:val="22"/>
        </w:rPr>
        <w:t>Cornell L. Rev</w:t>
      </w:r>
      <w:r w:rsidRPr="00076D87">
        <w:rPr>
          <w:sz w:val="22"/>
          <w:szCs w:val="22"/>
        </w:rPr>
        <w:t>. 67, no. 4 (April):</w:t>
      </w:r>
      <w:r w:rsidR="009F25CC" w:rsidRPr="00076D87">
        <w:rPr>
          <w:sz w:val="22"/>
          <w:szCs w:val="22"/>
        </w:rPr>
        <w:t xml:space="preserve"> pp.</w:t>
      </w:r>
      <w:r w:rsidRPr="00076D87">
        <w:rPr>
          <w:sz w:val="22"/>
          <w:szCs w:val="22"/>
        </w:rPr>
        <w:t xml:space="preserve"> 640–65</w:t>
      </w:r>
    </w:p>
    <w:p w14:paraId="42B9BA05" w14:textId="6E8A41C0" w:rsidR="00101C2B" w:rsidRPr="00076D87" w:rsidRDefault="00101C2B" w:rsidP="007E42E3">
      <w:pPr>
        <w:ind w:left="432" w:hanging="432"/>
        <w:rPr>
          <w:sz w:val="22"/>
          <w:szCs w:val="22"/>
        </w:rPr>
      </w:pPr>
      <w:r w:rsidRPr="00076D87">
        <w:rPr>
          <w:sz w:val="22"/>
          <w:szCs w:val="22"/>
        </w:rPr>
        <w:t xml:space="preserve">—— (2005) “Actual and Virtual Specific Performance, the Theory of Efficient Breach, and the Indifference Principle in Contract Law.” </w:t>
      </w:r>
      <w:r w:rsidRPr="00076D87">
        <w:rPr>
          <w:i/>
          <w:iCs/>
          <w:sz w:val="22"/>
          <w:szCs w:val="22"/>
        </w:rPr>
        <w:t>Cal. L. Rev</w:t>
      </w:r>
      <w:r w:rsidRPr="00076D87">
        <w:rPr>
          <w:sz w:val="22"/>
          <w:szCs w:val="22"/>
        </w:rPr>
        <w:t xml:space="preserve">. 93, no. 4 (July): </w:t>
      </w:r>
      <w:r w:rsidR="00973FE4" w:rsidRPr="00076D87">
        <w:rPr>
          <w:sz w:val="22"/>
          <w:szCs w:val="22"/>
        </w:rPr>
        <w:t xml:space="preserve">pp. </w:t>
      </w:r>
      <w:r w:rsidRPr="00076D87">
        <w:rPr>
          <w:sz w:val="22"/>
          <w:szCs w:val="22"/>
        </w:rPr>
        <w:t>975–1050</w:t>
      </w:r>
    </w:p>
    <w:p w14:paraId="514BB53A" w14:textId="505CB005" w:rsidR="008B03B6" w:rsidRPr="00076D87" w:rsidRDefault="008B03B6" w:rsidP="007E42E3">
      <w:pPr>
        <w:ind w:left="432" w:hanging="432"/>
        <w:rPr>
          <w:sz w:val="22"/>
          <w:szCs w:val="22"/>
        </w:rPr>
      </w:pPr>
      <w:r w:rsidRPr="00076D87">
        <w:rPr>
          <w:sz w:val="22"/>
          <w:szCs w:val="22"/>
        </w:rPr>
        <w:t xml:space="preserve">Epstein, R. (September 17, 2019) “The Beauty of Roman Law.” </w:t>
      </w:r>
      <w:r w:rsidRPr="003530F9">
        <w:rPr>
          <w:i/>
          <w:iCs/>
          <w:sz w:val="22"/>
          <w:szCs w:val="22"/>
        </w:rPr>
        <w:t>The Libertarian</w:t>
      </w:r>
      <w:r w:rsidRPr="00076D87">
        <w:rPr>
          <w:sz w:val="22"/>
          <w:szCs w:val="22"/>
        </w:rPr>
        <w:t>. www.hoover.org/research/libertarian-beauty-roman-law</w:t>
      </w:r>
    </w:p>
    <w:p w14:paraId="4ED53E5A" w14:textId="3519A836" w:rsidR="00F0766F" w:rsidRPr="003530F9" w:rsidRDefault="00F0766F" w:rsidP="007E42E3">
      <w:pPr>
        <w:ind w:left="432" w:hanging="432"/>
        <w:rPr>
          <w:sz w:val="22"/>
          <w:szCs w:val="22"/>
        </w:rPr>
      </w:pPr>
      <w:r w:rsidRPr="00076D87">
        <w:rPr>
          <w:sz w:val="22"/>
          <w:szCs w:val="22"/>
        </w:rPr>
        <w:t xml:space="preserve">Evers, </w:t>
      </w:r>
      <w:r w:rsidR="0095694C" w:rsidRPr="00076D87">
        <w:rPr>
          <w:sz w:val="22"/>
          <w:szCs w:val="22"/>
        </w:rPr>
        <w:t>W. (1977) “</w:t>
      </w:r>
      <w:hyperlink r:id="rId20" w:history="1">
        <w:r w:rsidR="0095694C" w:rsidRPr="00076D87">
          <w:rPr>
            <w:rStyle w:val="Hyperlink"/>
            <w:sz w:val="22"/>
            <w:szCs w:val="22"/>
          </w:rPr>
          <w:t>Toward a Reformulation of the Law of Contracts</w:t>
        </w:r>
      </w:hyperlink>
      <w:r w:rsidR="00AF71BB" w:rsidRPr="00076D87">
        <w:rPr>
          <w:sz w:val="22"/>
          <w:szCs w:val="22"/>
        </w:rPr>
        <w:t>.</w:t>
      </w:r>
      <w:r w:rsidR="0095694C" w:rsidRPr="00076D87">
        <w:rPr>
          <w:sz w:val="22"/>
          <w:szCs w:val="22"/>
        </w:rPr>
        <w:t xml:space="preserve">” </w:t>
      </w:r>
      <w:r w:rsidR="0095694C" w:rsidRPr="00076D87">
        <w:rPr>
          <w:i/>
          <w:iCs/>
          <w:sz w:val="22"/>
          <w:szCs w:val="22"/>
        </w:rPr>
        <w:t>J. Libertarian Stud.</w:t>
      </w:r>
      <w:r w:rsidR="0095694C" w:rsidRPr="00076D87">
        <w:rPr>
          <w:sz w:val="22"/>
          <w:szCs w:val="22"/>
        </w:rPr>
        <w:t xml:space="preserve"> 1, no. 1</w:t>
      </w:r>
      <w:r w:rsidR="00071E3B" w:rsidRPr="00076D87">
        <w:rPr>
          <w:sz w:val="22"/>
          <w:szCs w:val="22"/>
        </w:rPr>
        <w:t>:</w:t>
      </w:r>
      <w:r w:rsidR="0095694C" w:rsidRPr="00076D87">
        <w:rPr>
          <w:sz w:val="22"/>
          <w:szCs w:val="22"/>
        </w:rPr>
        <w:t xml:space="preserve"> pp. 3–13; </w:t>
      </w:r>
      <w:hyperlink r:id="rId21" w:history="1">
        <w:r w:rsidR="0095694C" w:rsidRPr="00076D87">
          <w:rPr>
            <w:rStyle w:val="Hyperlink"/>
            <w:sz w:val="22"/>
            <w:szCs w:val="22"/>
          </w:rPr>
          <w:t>https://mises.org/library/toward-reformulation-law-contracts</w:t>
        </w:r>
      </w:hyperlink>
    </w:p>
    <w:p w14:paraId="3975B45E" w14:textId="2CE007A8" w:rsidR="007808E0" w:rsidRPr="00076D87" w:rsidRDefault="007808E0" w:rsidP="007E42E3">
      <w:pPr>
        <w:ind w:left="432" w:hanging="432"/>
        <w:rPr>
          <w:sz w:val="22"/>
          <w:szCs w:val="22"/>
        </w:rPr>
      </w:pPr>
      <w:r w:rsidRPr="003530F9">
        <w:rPr>
          <w:sz w:val="22"/>
          <w:szCs w:val="22"/>
        </w:rPr>
        <w:t xml:space="preserve">—— (1978) “The Law of Omissions and Neglect of Children.” </w:t>
      </w:r>
      <w:r w:rsidRPr="003530F9">
        <w:rPr>
          <w:i/>
          <w:iCs/>
          <w:sz w:val="22"/>
          <w:szCs w:val="22"/>
        </w:rPr>
        <w:t>J. Libertarian Stud.</w:t>
      </w:r>
      <w:r w:rsidRPr="003530F9">
        <w:rPr>
          <w:sz w:val="22"/>
          <w:szCs w:val="22"/>
        </w:rPr>
        <w:t xml:space="preserve"> 2, no. 1: pp. 1–10. https://mises.org/journal-libertarian-studies/law-omissions-and-neglect-children</w:t>
      </w:r>
    </w:p>
    <w:p w14:paraId="4AF1D077" w14:textId="4CC6AA7F" w:rsidR="006434BF" w:rsidRPr="00076D87" w:rsidRDefault="006434BF" w:rsidP="007E42E3">
      <w:pPr>
        <w:ind w:left="432" w:hanging="432"/>
        <w:rPr>
          <w:sz w:val="22"/>
          <w:szCs w:val="22"/>
        </w:rPr>
      </w:pPr>
      <w:r w:rsidRPr="00076D87">
        <w:rPr>
          <w:i/>
          <w:iCs/>
          <w:sz w:val="22"/>
          <w:szCs w:val="22"/>
        </w:rPr>
        <w:t>Gilmartin v. KVTV-Channel 13</w:t>
      </w:r>
      <w:r w:rsidRPr="00076D87">
        <w:rPr>
          <w:sz w:val="22"/>
          <w:szCs w:val="22"/>
        </w:rPr>
        <w:t>, 985 S.W.2d 553 (Tex. App. 1998)</w:t>
      </w:r>
      <w:r w:rsidR="00AF71BB" w:rsidRPr="00076D87">
        <w:rPr>
          <w:sz w:val="22"/>
          <w:szCs w:val="22"/>
        </w:rPr>
        <w:t>;</w:t>
      </w:r>
      <w:r w:rsidRPr="00076D87">
        <w:rPr>
          <w:sz w:val="22"/>
          <w:szCs w:val="22"/>
        </w:rPr>
        <w:t xml:space="preserve"> </w:t>
      </w:r>
      <w:hyperlink r:id="rId22" w:history="1">
        <w:r w:rsidRPr="00076D87">
          <w:rPr>
            <w:rStyle w:val="Hyperlink"/>
            <w:sz w:val="22"/>
            <w:szCs w:val="22"/>
          </w:rPr>
          <w:t>https://casetext.com/case/gilmartin-v-kvtv-channel-13/case-details</w:t>
        </w:r>
      </w:hyperlink>
      <w:r w:rsidRPr="00076D87">
        <w:rPr>
          <w:sz w:val="22"/>
          <w:szCs w:val="22"/>
        </w:rPr>
        <w:t xml:space="preserve"> </w:t>
      </w:r>
    </w:p>
    <w:p w14:paraId="14BB6DE9" w14:textId="19991604" w:rsidR="005D2113" w:rsidRPr="00076D87" w:rsidRDefault="005D2113" w:rsidP="007E42E3">
      <w:pPr>
        <w:ind w:left="432" w:hanging="432"/>
        <w:rPr>
          <w:sz w:val="22"/>
          <w:szCs w:val="22"/>
        </w:rPr>
      </w:pPr>
      <w:proofErr w:type="spellStart"/>
      <w:r w:rsidRPr="00076D87">
        <w:rPr>
          <w:sz w:val="22"/>
          <w:szCs w:val="22"/>
        </w:rPr>
        <w:t>Hausmaninger</w:t>
      </w:r>
      <w:proofErr w:type="spellEnd"/>
      <w:r w:rsidRPr="00076D87">
        <w:rPr>
          <w:sz w:val="22"/>
          <w:szCs w:val="22"/>
        </w:rPr>
        <w:t xml:space="preserve">, H. </w:t>
      </w:r>
      <w:r w:rsidR="00F93342" w:rsidRPr="00076D87">
        <w:rPr>
          <w:sz w:val="22"/>
          <w:szCs w:val="22"/>
        </w:rPr>
        <w:t>and</w:t>
      </w:r>
      <w:r w:rsidRPr="00076D87">
        <w:rPr>
          <w:sz w:val="22"/>
          <w:szCs w:val="22"/>
        </w:rPr>
        <w:t xml:space="preserve"> Gamauf, R. (201</w:t>
      </w:r>
      <w:r w:rsidR="002C4012" w:rsidRPr="00076D87">
        <w:rPr>
          <w:sz w:val="22"/>
          <w:szCs w:val="22"/>
        </w:rPr>
        <w:t>2</w:t>
      </w:r>
      <w:r w:rsidRPr="00076D87">
        <w:rPr>
          <w:sz w:val="22"/>
          <w:szCs w:val="22"/>
        </w:rPr>
        <w:t xml:space="preserve">) </w:t>
      </w:r>
      <w:r w:rsidRPr="00076D87">
        <w:rPr>
          <w:i/>
          <w:iCs/>
          <w:sz w:val="22"/>
          <w:szCs w:val="22"/>
        </w:rPr>
        <w:t>A Casebook on Roman Property Law</w:t>
      </w:r>
      <w:r w:rsidRPr="00076D87">
        <w:rPr>
          <w:sz w:val="22"/>
          <w:szCs w:val="22"/>
        </w:rPr>
        <w:t>, G</w:t>
      </w:r>
      <w:r w:rsidR="006D1AF8" w:rsidRPr="00076D87">
        <w:rPr>
          <w:sz w:val="22"/>
          <w:szCs w:val="22"/>
        </w:rPr>
        <w:t>.</w:t>
      </w:r>
      <w:r w:rsidRPr="00076D87">
        <w:rPr>
          <w:sz w:val="22"/>
          <w:szCs w:val="22"/>
        </w:rPr>
        <w:t xml:space="preserve"> Sheets</w:t>
      </w:r>
      <w:r w:rsidR="006D1AF8" w:rsidRPr="00076D87">
        <w:rPr>
          <w:sz w:val="22"/>
          <w:szCs w:val="22"/>
        </w:rPr>
        <w:t>, trans</w:t>
      </w:r>
      <w:r w:rsidRPr="00076D87">
        <w:rPr>
          <w:sz w:val="22"/>
          <w:szCs w:val="22"/>
        </w:rPr>
        <w:t>. Oxford: Oxford University Press</w:t>
      </w:r>
    </w:p>
    <w:p w14:paraId="7B91C49B" w14:textId="466D11B8" w:rsidR="00827148" w:rsidRPr="00076D87" w:rsidRDefault="00E53723" w:rsidP="007E42E3">
      <w:pPr>
        <w:ind w:left="432" w:hanging="432"/>
        <w:rPr>
          <w:sz w:val="22"/>
          <w:szCs w:val="22"/>
        </w:rPr>
      </w:pPr>
      <w:r w:rsidRPr="00076D87">
        <w:rPr>
          <w:sz w:val="22"/>
          <w:szCs w:val="22"/>
        </w:rPr>
        <w:t>Hoppe, H.</w:t>
      </w:r>
      <w:r w:rsidR="008465D7" w:rsidRPr="00076D87">
        <w:rPr>
          <w:sz w:val="22"/>
          <w:szCs w:val="22"/>
        </w:rPr>
        <w:t xml:space="preserve"> (2006</w:t>
      </w:r>
      <w:r w:rsidR="00827148" w:rsidRPr="00076D87">
        <w:rPr>
          <w:sz w:val="22"/>
          <w:szCs w:val="22"/>
        </w:rPr>
        <w:t>) “</w:t>
      </w:r>
      <w:r w:rsidR="007E49AD" w:rsidRPr="00076D87">
        <w:rPr>
          <w:sz w:val="22"/>
          <w:szCs w:val="22"/>
        </w:rPr>
        <w:t xml:space="preserve">How is Fiat Money </w:t>
      </w:r>
      <w:proofErr w:type="gramStart"/>
      <w:r w:rsidR="007E49AD" w:rsidRPr="00076D87">
        <w:rPr>
          <w:sz w:val="22"/>
          <w:szCs w:val="22"/>
        </w:rPr>
        <w:t>Possible?—or,</w:t>
      </w:r>
      <w:proofErr w:type="gramEnd"/>
      <w:r w:rsidR="007E49AD" w:rsidRPr="00076D87">
        <w:rPr>
          <w:sz w:val="22"/>
          <w:szCs w:val="22"/>
        </w:rPr>
        <w:t xml:space="preserve"> The Devolution of Money and Credit</w:t>
      </w:r>
      <w:r w:rsidR="00827148" w:rsidRPr="00076D87">
        <w:rPr>
          <w:sz w:val="22"/>
          <w:szCs w:val="22"/>
        </w:rPr>
        <w:t>”</w:t>
      </w:r>
      <w:r w:rsidR="00F73E39">
        <w:rPr>
          <w:sz w:val="22"/>
          <w:szCs w:val="22"/>
        </w:rPr>
        <w:t xml:space="preserve">. In </w:t>
      </w:r>
      <w:r w:rsidR="00F73E39" w:rsidRPr="00076D87">
        <w:rPr>
          <w:i/>
          <w:iCs/>
          <w:sz w:val="22"/>
          <w:szCs w:val="22"/>
        </w:rPr>
        <w:t>The Economics and Ethics of Private Property</w:t>
      </w:r>
      <w:r w:rsidR="00F73E39" w:rsidRPr="00076D87">
        <w:rPr>
          <w:sz w:val="22"/>
          <w:szCs w:val="22"/>
        </w:rPr>
        <w:t>, 2</w:t>
      </w:r>
      <w:r w:rsidR="00F73E39" w:rsidRPr="00076D87">
        <w:rPr>
          <w:sz w:val="22"/>
          <w:szCs w:val="22"/>
          <w:vertAlign w:val="superscript"/>
        </w:rPr>
        <w:t>nd</w:t>
      </w:r>
      <w:r w:rsidR="00F73E39" w:rsidRPr="00076D87">
        <w:rPr>
          <w:sz w:val="22"/>
          <w:szCs w:val="22"/>
        </w:rPr>
        <w:t xml:space="preserve"> ed. Auburn, Ala.: Ludwig von Mises Institute; </w:t>
      </w:r>
      <w:hyperlink r:id="rId23" w:history="1">
        <w:r w:rsidR="00F73E39" w:rsidRPr="00076D87">
          <w:rPr>
            <w:rStyle w:val="Hyperlink"/>
            <w:sz w:val="22"/>
            <w:szCs w:val="22"/>
          </w:rPr>
          <w:t>www.hanshoppe.com/eepp</w:t>
        </w:r>
      </w:hyperlink>
    </w:p>
    <w:p w14:paraId="411738BB" w14:textId="207018D4" w:rsidR="00E53723" w:rsidRPr="00076D87" w:rsidRDefault="008465D7" w:rsidP="007E42E3">
      <w:pPr>
        <w:ind w:left="432" w:hanging="432"/>
        <w:rPr>
          <w:sz w:val="22"/>
          <w:szCs w:val="22"/>
        </w:rPr>
      </w:pPr>
      <w:r w:rsidRPr="00076D87">
        <w:rPr>
          <w:sz w:val="22"/>
          <w:szCs w:val="22"/>
        </w:rPr>
        <w:t xml:space="preserve">—— </w:t>
      </w:r>
      <w:r w:rsidR="00E53723" w:rsidRPr="00076D87">
        <w:rPr>
          <w:sz w:val="22"/>
          <w:szCs w:val="22"/>
        </w:rPr>
        <w:t xml:space="preserve">(2010) </w:t>
      </w:r>
      <w:r w:rsidR="00E53723" w:rsidRPr="00076D87">
        <w:rPr>
          <w:i/>
          <w:iCs/>
          <w:sz w:val="22"/>
          <w:szCs w:val="22"/>
        </w:rPr>
        <w:t>A Theory of Socialism and Capitalism: Economics, Politics, and Ethics</w:t>
      </w:r>
      <w:r w:rsidR="00E53723" w:rsidRPr="00076D87">
        <w:rPr>
          <w:sz w:val="22"/>
          <w:szCs w:val="22"/>
        </w:rPr>
        <w:t xml:space="preserve">. Auburn, Ala.: Mises Institute; </w:t>
      </w:r>
      <w:hyperlink r:id="rId24" w:history="1">
        <w:r w:rsidR="00E53723" w:rsidRPr="00076D87">
          <w:rPr>
            <w:rStyle w:val="Hyperlink"/>
            <w:sz w:val="22"/>
            <w:szCs w:val="22"/>
          </w:rPr>
          <w:t>www.hanshoppe.com/tsc</w:t>
        </w:r>
      </w:hyperlink>
      <w:r w:rsidR="00E53723" w:rsidRPr="00076D87">
        <w:rPr>
          <w:sz w:val="22"/>
          <w:szCs w:val="22"/>
        </w:rPr>
        <w:t xml:space="preserve"> </w:t>
      </w:r>
    </w:p>
    <w:p w14:paraId="56138828" w14:textId="384E7EA7" w:rsidR="00C65757" w:rsidRPr="00076D87" w:rsidRDefault="00C65757" w:rsidP="007E42E3">
      <w:pPr>
        <w:ind w:left="432" w:hanging="432"/>
        <w:rPr>
          <w:sz w:val="22"/>
          <w:szCs w:val="22"/>
        </w:rPr>
      </w:pPr>
      <w:r w:rsidRPr="00076D87">
        <w:rPr>
          <w:sz w:val="22"/>
          <w:szCs w:val="22"/>
        </w:rPr>
        <w:t xml:space="preserve">—— (2023) “Foreword,” in Kinsella </w:t>
      </w:r>
      <w:r w:rsidR="008D0958" w:rsidRPr="00076D87">
        <w:rPr>
          <w:sz w:val="22"/>
          <w:szCs w:val="22"/>
        </w:rPr>
        <w:t>(</w:t>
      </w:r>
      <w:r w:rsidRPr="00076D87">
        <w:rPr>
          <w:sz w:val="22"/>
          <w:szCs w:val="22"/>
        </w:rPr>
        <w:t>2023</w:t>
      </w:r>
      <w:r w:rsidR="008D0958" w:rsidRPr="00076D87">
        <w:rPr>
          <w:sz w:val="22"/>
          <w:szCs w:val="22"/>
        </w:rPr>
        <w:t>a)</w:t>
      </w:r>
    </w:p>
    <w:p w14:paraId="0BFA3569" w14:textId="72894F4D" w:rsidR="001F5330" w:rsidRPr="00076D87" w:rsidRDefault="001F5330" w:rsidP="007E42E3">
      <w:pPr>
        <w:ind w:left="432" w:hanging="432"/>
        <w:rPr>
          <w:sz w:val="22"/>
          <w:szCs w:val="22"/>
        </w:rPr>
      </w:pPr>
      <w:r w:rsidRPr="00076D87">
        <w:rPr>
          <w:sz w:val="22"/>
          <w:szCs w:val="22"/>
        </w:rPr>
        <w:t>Hoppe, H.</w:t>
      </w:r>
      <w:r w:rsidR="00FD7CD8" w:rsidRPr="00076D87">
        <w:rPr>
          <w:sz w:val="22"/>
          <w:szCs w:val="22"/>
        </w:rPr>
        <w:t>, J. Hülsmann</w:t>
      </w:r>
      <w:r w:rsidR="00F93342" w:rsidRPr="00076D87">
        <w:rPr>
          <w:sz w:val="22"/>
          <w:szCs w:val="22"/>
        </w:rPr>
        <w:t xml:space="preserve">, and </w:t>
      </w:r>
      <w:r w:rsidR="00FD7CD8" w:rsidRPr="00076D87">
        <w:rPr>
          <w:sz w:val="22"/>
          <w:szCs w:val="22"/>
        </w:rPr>
        <w:t>W. Block</w:t>
      </w:r>
      <w:r w:rsidRPr="00076D87">
        <w:rPr>
          <w:sz w:val="22"/>
          <w:szCs w:val="22"/>
        </w:rPr>
        <w:t xml:space="preserve"> (2006) “Against Fiduciary Media” in Hoppe (2006</w:t>
      </w:r>
      <w:r w:rsidR="008457F3" w:rsidRPr="00076D87">
        <w:rPr>
          <w:sz w:val="22"/>
          <w:szCs w:val="22"/>
        </w:rPr>
        <w:t>a</w:t>
      </w:r>
      <w:r w:rsidRPr="00076D87">
        <w:rPr>
          <w:sz w:val="22"/>
          <w:szCs w:val="22"/>
        </w:rPr>
        <w:t>)</w:t>
      </w:r>
    </w:p>
    <w:p w14:paraId="68421B27" w14:textId="131D07B9" w:rsidR="00612A34" w:rsidRPr="00076D87" w:rsidRDefault="00612A34" w:rsidP="007E42E3">
      <w:pPr>
        <w:ind w:left="432" w:hanging="432"/>
        <w:rPr>
          <w:sz w:val="22"/>
          <w:szCs w:val="22"/>
        </w:rPr>
      </w:pPr>
      <w:r w:rsidRPr="00076D87">
        <w:rPr>
          <w:sz w:val="22"/>
          <w:szCs w:val="22"/>
        </w:rPr>
        <w:t>Horwitz</w:t>
      </w:r>
      <w:r w:rsidR="006A6BA2" w:rsidRPr="00076D87">
        <w:rPr>
          <w:sz w:val="22"/>
          <w:szCs w:val="22"/>
        </w:rPr>
        <w:t>, M. (1977)</w:t>
      </w:r>
      <w:r w:rsidR="001B4C61" w:rsidRPr="00076D87">
        <w:rPr>
          <w:sz w:val="22"/>
          <w:szCs w:val="22"/>
        </w:rPr>
        <w:t>.</w:t>
      </w:r>
      <w:r w:rsidRPr="00076D87">
        <w:rPr>
          <w:sz w:val="22"/>
          <w:szCs w:val="22"/>
        </w:rPr>
        <w:t xml:space="preserve"> </w:t>
      </w:r>
      <w:r w:rsidRPr="00076D87">
        <w:rPr>
          <w:i/>
          <w:iCs/>
          <w:sz w:val="22"/>
          <w:szCs w:val="22"/>
        </w:rPr>
        <w:t>The Transformation of American Law, 1780–1860</w:t>
      </w:r>
      <w:r w:rsidR="006A6BA2" w:rsidRPr="00076D87">
        <w:rPr>
          <w:sz w:val="22"/>
          <w:szCs w:val="22"/>
        </w:rPr>
        <w:t>.</w:t>
      </w:r>
      <w:r w:rsidRPr="00076D87">
        <w:rPr>
          <w:sz w:val="22"/>
          <w:szCs w:val="22"/>
        </w:rPr>
        <w:t xml:space="preserve"> Harvard University Press</w:t>
      </w:r>
    </w:p>
    <w:p w14:paraId="55CF3C8E" w14:textId="18B421C1" w:rsidR="00EB052B" w:rsidRPr="00076D87" w:rsidRDefault="00EB052B" w:rsidP="007E42E3">
      <w:pPr>
        <w:ind w:left="432" w:hanging="432"/>
        <w:rPr>
          <w:sz w:val="22"/>
          <w:szCs w:val="22"/>
        </w:rPr>
      </w:pPr>
      <w:bookmarkStart w:id="99" w:name="OLE_LINK3"/>
      <w:bookmarkStart w:id="100" w:name="OLE_LINK4"/>
      <w:r w:rsidRPr="00076D87">
        <w:rPr>
          <w:sz w:val="22"/>
          <w:szCs w:val="22"/>
        </w:rPr>
        <w:lastRenderedPageBreak/>
        <w:t xml:space="preserve">Huerta de Soto, J. (2020) </w:t>
      </w:r>
      <w:r w:rsidRPr="00076D87">
        <w:rPr>
          <w:i/>
          <w:iCs/>
          <w:sz w:val="22"/>
          <w:szCs w:val="22"/>
        </w:rPr>
        <w:t>Money, Bank Credit, and Economic Cycles</w:t>
      </w:r>
      <w:r w:rsidRPr="00076D87">
        <w:rPr>
          <w:sz w:val="22"/>
          <w:szCs w:val="22"/>
        </w:rPr>
        <w:t>, 4</w:t>
      </w:r>
      <w:r w:rsidRPr="00076D87">
        <w:rPr>
          <w:sz w:val="22"/>
          <w:szCs w:val="22"/>
          <w:vertAlign w:val="superscript"/>
        </w:rPr>
        <w:t>th</w:t>
      </w:r>
      <w:r w:rsidRPr="00076D87">
        <w:rPr>
          <w:sz w:val="22"/>
          <w:szCs w:val="22"/>
        </w:rPr>
        <w:t xml:space="preserve"> ed., M. Stroup, trans. Auburn, Ala.: Mises Institute; </w:t>
      </w:r>
      <w:hyperlink r:id="rId25" w:history="1">
        <w:r w:rsidR="005D7BEF" w:rsidRPr="00076D87">
          <w:rPr>
            <w:rStyle w:val="Hyperlink"/>
            <w:sz w:val="22"/>
            <w:szCs w:val="22"/>
          </w:rPr>
          <w:t>https://perma.cc/GX8A-W9WP</w:t>
        </w:r>
      </w:hyperlink>
      <w:r w:rsidR="00DC47F1" w:rsidRPr="00076D87">
        <w:rPr>
          <w:sz w:val="22"/>
          <w:szCs w:val="22"/>
        </w:rPr>
        <w:t>,</w:t>
      </w:r>
      <w:r w:rsidR="005D7BEF" w:rsidRPr="00076D87">
        <w:rPr>
          <w:sz w:val="22"/>
          <w:szCs w:val="22"/>
        </w:rPr>
        <w:t xml:space="preserve"> </w:t>
      </w:r>
      <w:hyperlink r:id="rId26" w:history="1">
        <w:r w:rsidR="00A579D8" w:rsidRPr="00076D87">
          <w:rPr>
            <w:rStyle w:val="Hyperlink"/>
            <w:sz w:val="22"/>
            <w:szCs w:val="22"/>
          </w:rPr>
          <w:t>https://perma.cc/85JX-5WDF</w:t>
        </w:r>
      </w:hyperlink>
      <w:r w:rsidR="00A579D8" w:rsidRPr="00076D87">
        <w:rPr>
          <w:sz w:val="22"/>
          <w:szCs w:val="22"/>
        </w:rPr>
        <w:t xml:space="preserve">, </w:t>
      </w:r>
      <w:hyperlink r:id="rId27" w:history="1">
        <w:r w:rsidR="00A579D8" w:rsidRPr="00076D87">
          <w:rPr>
            <w:rStyle w:val="Hyperlink"/>
            <w:sz w:val="22"/>
            <w:szCs w:val="22"/>
          </w:rPr>
          <w:t>https://perma.cc/TP6K-L8FX</w:t>
        </w:r>
      </w:hyperlink>
      <w:r w:rsidR="00A579D8" w:rsidRPr="00076D87">
        <w:rPr>
          <w:sz w:val="22"/>
          <w:szCs w:val="22"/>
        </w:rPr>
        <w:t xml:space="preserve"> </w:t>
      </w:r>
      <w:bookmarkEnd w:id="99"/>
      <w:bookmarkEnd w:id="100"/>
    </w:p>
    <w:p w14:paraId="185B6236" w14:textId="2B913C16" w:rsidR="00B640F7" w:rsidRPr="00076D87" w:rsidRDefault="009E15E3" w:rsidP="007E42E3">
      <w:pPr>
        <w:ind w:left="432" w:hanging="432"/>
        <w:rPr>
          <w:sz w:val="22"/>
          <w:szCs w:val="22"/>
        </w:rPr>
      </w:pPr>
      <w:r w:rsidRPr="00076D87">
        <w:rPr>
          <w:sz w:val="22"/>
          <w:szCs w:val="22"/>
        </w:rPr>
        <w:t>H</w:t>
      </w:r>
      <w:r w:rsidR="00D20633" w:rsidRPr="00076D87">
        <w:rPr>
          <w:sz w:val="22"/>
          <w:szCs w:val="22"/>
        </w:rPr>
        <w:t>ü</w:t>
      </w:r>
      <w:r w:rsidRPr="00076D87">
        <w:rPr>
          <w:sz w:val="22"/>
          <w:szCs w:val="22"/>
        </w:rPr>
        <w:t>lsmann</w:t>
      </w:r>
      <w:r w:rsidR="00673055" w:rsidRPr="00076D87">
        <w:rPr>
          <w:sz w:val="22"/>
          <w:szCs w:val="22"/>
        </w:rPr>
        <w:t>, J.</w:t>
      </w:r>
      <w:r w:rsidRPr="00076D87">
        <w:rPr>
          <w:sz w:val="22"/>
          <w:szCs w:val="22"/>
        </w:rPr>
        <w:t xml:space="preserve"> (20</w:t>
      </w:r>
      <w:r w:rsidR="00673055" w:rsidRPr="00076D87">
        <w:rPr>
          <w:sz w:val="22"/>
          <w:szCs w:val="22"/>
        </w:rPr>
        <w:t>02/03)</w:t>
      </w:r>
      <w:r w:rsidRPr="00076D87">
        <w:rPr>
          <w:sz w:val="22"/>
          <w:szCs w:val="22"/>
        </w:rPr>
        <w:t xml:space="preserve"> “</w:t>
      </w:r>
      <w:r w:rsidR="00B640F7" w:rsidRPr="00076D87">
        <w:rPr>
          <w:sz w:val="22"/>
          <w:szCs w:val="22"/>
        </w:rPr>
        <w:t>Has Fractional-Reserve Banking Really Passed the Market Test?</w:t>
      </w:r>
      <w:r w:rsidR="00673055" w:rsidRPr="00076D87">
        <w:rPr>
          <w:sz w:val="22"/>
          <w:szCs w:val="22"/>
        </w:rPr>
        <w:t>”</w:t>
      </w:r>
      <w:r w:rsidR="00B640F7" w:rsidRPr="00076D87">
        <w:rPr>
          <w:sz w:val="22"/>
          <w:szCs w:val="22"/>
        </w:rPr>
        <w:t xml:space="preserve"> </w:t>
      </w:r>
      <w:r w:rsidR="00B640F7" w:rsidRPr="00076D87">
        <w:rPr>
          <w:i/>
          <w:iCs/>
          <w:sz w:val="22"/>
          <w:szCs w:val="22"/>
        </w:rPr>
        <w:t>The Independent Review</w:t>
      </w:r>
      <w:r w:rsidR="00673055" w:rsidRPr="00076D87">
        <w:rPr>
          <w:sz w:val="22"/>
          <w:szCs w:val="22"/>
        </w:rPr>
        <w:t>, Winter</w:t>
      </w:r>
      <w:r w:rsidR="008C736C" w:rsidRPr="00076D87">
        <w:rPr>
          <w:sz w:val="22"/>
          <w:szCs w:val="22"/>
        </w:rPr>
        <w:t>: pp. 399–422</w:t>
      </w:r>
      <w:r w:rsidR="00673055" w:rsidRPr="00076D87">
        <w:rPr>
          <w:sz w:val="22"/>
          <w:szCs w:val="22"/>
        </w:rPr>
        <w:t xml:space="preserve">; </w:t>
      </w:r>
      <w:hyperlink r:id="rId28" w:history="1">
        <w:r w:rsidR="00B640F7" w:rsidRPr="00076D87">
          <w:rPr>
            <w:rStyle w:val="Hyperlink"/>
            <w:sz w:val="22"/>
            <w:szCs w:val="22"/>
          </w:rPr>
          <w:t>www.independent.org/publications/tir/article.asp?id=90</w:t>
        </w:r>
      </w:hyperlink>
      <w:r w:rsidR="00B640F7" w:rsidRPr="00076D87">
        <w:rPr>
          <w:sz w:val="22"/>
          <w:szCs w:val="22"/>
        </w:rPr>
        <w:t xml:space="preserve"> </w:t>
      </w:r>
    </w:p>
    <w:p w14:paraId="24620410" w14:textId="517FA86D" w:rsidR="002B7B97" w:rsidRPr="00076D87" w:rsidRDefault="002B7B97" w:rsidP="007E42E3">
      <w:pPr>
        <w:ind w:left="432" w:hanging="432"/>
        <w:rPr>
          <w:i/>
          <w:iCs/>
          <w:sz w:val="22"/>
          <w:szCs w:val="22"/>
        </w:rPr>
      </w:pPr>
      <w:r w:rsidRPr="00076D87">
        <w:rPr>
          <w:sz w:val="22"/>
          <w:szCs w:val="22"/>
        </w:rPr>
        <w:t xml:space="preserve">Justinian (1985) </w:t>
      </w:r>
      <w:r w:rsidRPr="00076D87">
        <w:rPr>
          <w:rFonts w:eastAsia="Times New Roman"/>
          <w:i/>
          <w:iCs/>
          <w:sz w:val="22"/>
          <w:szCs w:val="22"/>
        </w:rPr>
        <w:t>The Digest of Justinian</w:t>
      </w:r>
      <w:r w:rsidRPr="00076D87">
        <w:rPr>
          <w:sz w:val="22"/>
          <w:szCs w:val="22"/>
        </w:rPr>
        <w:t xml:space="preserve">, </w:t>
      </w:r>
      <w:r w:rsidR="006D1AF8" w:rsidRPr="00076D87">
        <w:rPr>
          <w:sz w:val="22"/>
          <w:szCs w:val="22"/>
        </w:rPr>
        <w:t>A.</w:t>
      </w:r>
      <w:r w:rsidRPr="00076D87">
        <w:rPr>
          <w:sz w:val="22"/>
          <w:szCs w:val="22"/>
        </w:rPr>
        <w:t xml:space="preserve"> Watson</w:t>
      </w:r>
      <w:r w:rsidR="006D1AF8" w:rsidRPr="00076D87">
        <w:rPr>
          <w:sz w:val="22"/>
          <w:szCs w:val="22"/>
        </w:rPr>
        <w:t xml:space="preserve">, </w:t>
      </w:r>
      <w:r w:rsidRPr="00076D87">
        <w:rPr>
          <w:sz w:val="22"/>
          <w:szCs w:val="22"/>
        </w:rPr>
        <w:t>trans. Philadelphia: University of Pennsylvania Press</w:t>
      </w:r>
    </w:p>
    <w:p w14:paraId="22B32AB7" w14:textId="0FD4C752" w:rsidR="00EA43BF" w:rsidRPr="00076D87" w:rsidRDefault="002F3445" w:rsidP="00996300">
      <w:pPr>
        <w:ind w:left="432" w:hanging="432"/>
        <w:rPr>
          <w:sz w:val="22"/>
          <w:szCs w:val="22"/>
        </w:rPr>
      </w:pPr>
      <w:bookmarkStart w:id="101" w:name="OLE_LINK738"/>
      <w:bookmarkStart w:id="102" w:name="OLE_LINK739"/>
      <w:r w:rsidRPr="00076D87">
        <w:rPr>
          <w:sz w:val="22"/>
          <w:szCs w:val="22"/>
        </w:rPr>
        <w:t>Kinsella</w:t>
      </w:r>
      <w:r w:rsidR="00B56768" w:rsidRPr="00076D87">
        <w:rPr>
          <w:sz w:val="22"/>
          <w:szCs w:val="22"/>
        </w:rPr>
        <w:t>, S.</w:t>
      </w:r>
      <w:r w:rsidR="00EA43BF" w:rsidRPr="00076D87">
        <w:rPr>
          <w:sz w:val="22"/>
          <w:szCs w:val="22"/>
        </w:rPr>
        <w:t xml:space="preserve"> (2008)</w:t>
      </w:r>
      <w:r w:rsidRPr="00076D87">
        <w:rPr>
          <w:sz w:val="22"/>
          <w:szCs w:val="22"/>
        </w:rPr>
        <w:t xml:space="preserve"> </w:t>
      </w:r>
      <w:hyperlink r:id="rId29" w:history="1">
        <w:r w:rsidR="00EA43BF" w:rsidRPr="003530F9">
          <w:rPr>
            <w:rStyle w:val="Hyperlink"/>
            <w:i/>
            <w:iCs/>
            <w:sz w:val="22"/>
            <w:szCs w:val="22"/>
          </w:rPr>
          <w:t>Against Intellectual Property</w:t>
        </w:r>
      </w:hyperlink>
      <w:r w:rsidR="00C52BC4" w:rsidRPr="003530F9">
        <w:rPr>
          <w:sz w:val="22"/>
          <w:szCs w:val="22"/>
        </w:rPr>
        <w:t>.</w:t>
      </w:r>
      <w:r w:rsidR="00324912" w:rsidRPr="003530F9">
        <w:rPr>
          <w:sz w:val="22"/>
          <w:szCs w:val="22"/>
        </w:rPr>
        <w:t xml:space="preserve"> </w:t>
      </w:r>
      <w:r w:rsidR="00EA43BF" w:rsidRPr="003530F9">
        <w:rPr>
          <w:sz w:val="22"/>
          <w:szCs w:val="22"/>
        </w:rPr>
        <w:t>Auburn, Ala.: Mises Institute</w:t>
      </w:r>
      <w:r w:rsidR="00B37822" w:rsidRPr="003530F9">
        <w:rPr>
          <w:sz w:val="22"/>
          <w:szCs w:val="22"/>
        </w:rPr>
        <w:t xml:space="preserve">; </w:t>
      </w:r>
      <w:hyperlink r:id="rId30" w:history="1">
        <w:r w:rsidR="00B37822" w:rsidRPr="003530F9">
          <w:rPr>
            <w:rStyle w:val="Hyperlink"/>
            <w:sz w:val="22"/>
            <w:szCs w:val="22"/>
          </w:rPr>
          <w:t>https://c4sif.org/aip</w:t>
        </w:r>
      </w:hyperlink>
      <w:r w:rsidR="00B37822" w:rsidRPr="003530F9">
        <w:rPr>
          <w:sz w:val="22"/>
          <w:szCs w:val="22"/>
        </w:rPr>
        <w:t xml:space="preserve"> </w:t>
      </w:r>
    </w:p>
    <w:p w14:paraId="70501BB3" w14:textId="628535AF" w:rsidR="00F8141A" w:rsidRPr="00076D87" w:rsidRDefault="00C56EB7" w:rsidP="007E42E3">
      <w:pPr>
        <w:ind w:left="432" w:hanging="432"/>
        <w:rPr>
          <w:sz w:val="22"/>
          <w:szCs w:val="22"/>
        </w:rPr>
      </w:pPr>
      <w:r w:rsidRPr="00076D87">
        <w:rPr>
          <w:sz w:val="22"/>
          <w:szCs w:val="22"/>
        </w:rPr>
        <w:t>——</w:t>
      </w:r>
      <w:r w:rsidR="002F3445" w:rsidRPr="00076D87">
        <w:rPr>
          <w:sz w:val="22"/>
          <w:szCs w:val="22"/>
        </w:rPr>
        <w:t xml:space="preserve"> </w:t>
      </w:r>
      <w:r w:rsidR="00F8141A" w:rsidRPr="00076D87">
        <w:rPr>
          <w:sz w:val="22"/>
          <w:szCs w:val="22"/>
        </w:rPr>
        <w:t xml:space="preserve">(2009) “Common Misconceptions about Plagiarism and Patents: A Call for an Independent Inventor Defense.” </w:t>
      </w:r>
      <w:r w:rsidR="00F8141A" w:rsidRPr="00076D87">
        <w:rPr>
          <w:i/>
          <w:iCs/>
          <w:sz w:val="22"/>
          <w:szCs w:val="22"/>
        </w:rPr>
        <w:t>StephanKinsella.com</w:t>
      </w:r>
      <w:r w:rsidR="00F8141A" w:rsidRPr="00076D87">
        <w:rPr>
          <w:sz w:val="22"/>
          <w:szCs w:val="22"/>
        </w:rPr>
        <w:t xml:space="preserve"> (November 21); </w:t>
      </w:r>
      <w:hyperlink r:id="rId31" w:history="1">
        <w:r w:rsidR="00F8141A" w:rsidRPr="00076D87">
          <w:rPr>
            <w:rStyle w:val="Hyperlink"/>
            <w:sz w:val="22"/>
            <w:szCs w:val="22"/>
          </w:rPr>
          <w:t>www.stephankinsella.com/2009/11/common-misconceptions-about-plagiarism-and-patents-a-call-for-an-independent-inventor-defense</w:t>
        </w:r>
      </w:hyperlink>
      <w:r w:rsidR="00F8141A" w:rsidRPr="00076D87">
        <w:rPr>
          <w:sz w:val="22"/>
          <w:szCs w:val="22"/>
        </w:rPr>
        <w:t xml:space="preserve"> </w:t>
      </w:r>
    </w:p>
    <w:p w14:paraId="367FB7A8" w14:textId="2D81F6F4" w:rsidR="00E9642A" w:rsidRPr="00076D87" w:rsidRDefault="00F8141A" w:rsidP="007E42E3">
      <w:pPr>
        <w:ind w:left="432" w:hanging="432"/>
        <w:rPr>
          <w:sz w:val="22"/>
          <w:szCs w:val="22"/>
        </w:rPr>
      </w:pPr>
      <w:r w:rsidRPr="00076D87">
        <w:rPr>
          <w:sz w:val="22"/>
          <w:szCs w:val="22"/>
        </w:rPr>
        <w:t xml:space="preserve">—— </w:t>
      </w:r>
      <w:r w:rsidR="00AC2F39" w:rsidRPr="00076D87">
        <w:rPr>
          <w:sz w:val="22"/>
          <w:szCs w:val="22"/>
        </w:rPr>
        <w:t>(2010</w:t>
      </w:r>
      <w:r w:rsidR="00A6168A" w:rsidRPr="00076D87">
        <w:rPr>
          <w:sz w:val="22"/>
          <w:szCs w:val="22"/>
        </w:rPr>
        <w:t>a</w:t>
      </w:r>
      <w:r w:rsidR="00AC2F39" w:rsidRPr="00076D87">
        <w:rPr>
          <w:sz w:val="22"/>
          <w:szCs w:val="22"/>
        </w:rPr>
        <w:t xml:space="preserve">) </w:t>
      </w:r>
      <w:r w:rsidR="00E9642A" w:rsidRPr="00076D87">
        <w:rPr>
          <w:sz w:val="22"/>
          <w:szCs w:val="22"/>
        </w:rPr>
        <w:t xml:space="preserve">“Justice and Property Rights: Rothbard on Scarcity, Property, Contracts…,” </w:t>
      </w:r>
      <w:r w:rsidR="00E9642A" w:rsidRPr="00076D87">
        <w:rPr>
          <w:i/>
          <w:iCs/>
          <w:sz w:val="22"/>
          <w:szCs w:val="22"/>
        </w:rPr>
        <w:t>The Libertarian Standard</w:t>
      </w:r>
      <w:r w:rsidR="00E9642A" w:rsidRPr="00076D87">
        <w:rPr>
          <w:sz w:val="22"/>
          <w:szCs w:val="22"/>
        </w:rPr>
        <w:t xml:space="preserve"> (Nov. 19)</w:t>
      </w:r>
      <w:r w:rsidR="00C41D57" w:rsidRPr="00076D87">
        <w:rPr>
          <w:sz w:val="22"/>
          <w:szCs w:val="22"/>
        </w:rPr>
        <w:t>;</w:t>
      </w:r>
      <w:r w:rsidR="001677A5" w:rsidRPr="00076D87">
        <w:rPr>
          <w:sz w:val="22"/>
          <w:szCs w:val="22"/>
        </w:rPr>
        <w:t xml:space="preserve"> </w:t>
      </w:r>
      <w:hyperlink r:id="rId32" w:history="1">
        <w:r w:rsidR="001677A5" w:rsidRPr="00076D87">
          <w:rPr>
            <w:rStyle w:val="Hyperlink"/>
            <w:sz w:val="22"/>
            <w:szCs w:val="22"/>
          </w:rPr>
          <w:t>https://www.stephankinsella.com/2010/11/rothbard-justice-property-rights/</w:t>
        </w:r>
      </w:hyperlink>
      <w:r w:rsidR="001677A5" w:rsidRPr="00076D87">
        <w:rPr>
          <w:sz w:val="22"/>
          <w:szCs w:val="22"/>
        </w:rPr>
        <w:t xml:space="preserve"> </w:t>
      </w:r>
    </w:p>
    <w:p w14:paraId="4E18C5E5" w14:textId="4B35A13D" w:rsidR="00AC2F39" w:rsidRPr="00076D87" w:rsidRDefault="00E9642A" w:rsidP="007E42E3">
      <w:pPr>
        <w:ind w:left="432" w:hanging="432"/>
        <w:rPr>
          <w:sz w:val="22"/>
          <w:szCs w:val="22"/>
        </w:rPr>
      </w:pPr>
      <w:r w:rsidRPr="00076D87">
        <w:rPr>
          <w:sz w:val="22"/>
          <w:szCs w:val="22"/>
        </w:rPr>
        <w:t xml:space="preserve">—— </w:t>
      </w:r>
      <w:r w:rsidR="00A6168A" w:rsidRPr="00076D87">
        <w:rPr>
          <w:sz w:val="22"/>
          <w:szCs w:val="22"/>
        </w:rPr>
        <w:t xml:space="preserve">(2010b) </w:t>
      </w:r>
      <w:r w:rsidR="00AC2F39" w:rsidRPr="00076D87">
        <w:rPr>
          <w:sz w:val="22"/>
          <w:szCs w:val="22"/>
        </w:rPr>
        <w:t xml:space="preserve">“Mises: Keep it Interesting.” </w:t>
      </w:r>
      <w:r w:rsidR="00AC2F39" w:rsidRPr="00076D87">
        <w:rPr>
          <w:i/>
          <w:iCs/>
          <w:sz w:val="22"/>
          <w:szCs w:val="22"/>
        </w:rPr>
        <w:t>StephanKinsella.com</w:t>
      </w:r>
      <w:r w:rsidR="00AC2F39" w:rsidRPr="00076D87">
        <w:rPr>
          <w:sz w:val="22"/>
          <w:szCs w:val="22"/>
        </w:rPr>
        <w:t>, October 16</w:t>
      </w:r>
      <w:r w:rsidR="00F92E05" w:rsidRPr="00076D87">
        <w:rPr>
          <w:sz w:val="22"/>
          <w:szCs w:val="22"/>
        </w:rPr>
        <w:t>;</w:t>
      </w:r>
      <w:r w:rsidR="009D3438" w:rsidRPr="00076D87">
        <w:rPr>
          <w:sz w:val="22"/>
          <w:szCs w:val="22"/>
        </w:rPr>
        <w:t xml:space="preserve"> </w:t>
      </w:r>
      <w:r w:rsidR="00AC2F39" w:rsidRPr="00076D87">
        <w:rPr>
          <w:sz w:val="22"/>
          <w:szCs w:val="22"/>
        </w:rPr>
        <w:t xml:space="preserve"> </w:t>
      </w:r>
      <w:hyperlink r:id="rId33" w:history="1">
        <w:r w:rsidR="00AC2F39" w:rsidRPr="00076D87">
          <w:rPr>
            <w:rStyle w:val="Hyperlink"/>
            <w:sz w:val="22"/>
            <w:szCs w:val="22"/>
          </w:rPr>
          <w:t>www.stephankinsella.com/2010/10/mises-keep-it-interesting</w:t>
        </w:r>
      </w:hyperlink>
      <w:r w:rsidR="00AC2F39" w:rsidRPr="00076D87">
        <w:rPr>
          <w:sz w:val="22"/>
          <w:szCs w:val="22"/>
        </w:rPr>
        <w:t xml:space="preserve"> </w:t>
      </w:r>
    </w:p>
    <w:p w14:paraId="5486E0E2" w14:textId="4E2E0BA8" w:rsidR="00AD2AC3" w:rsidRPr="00076D87" w:rsidRDefault="00AD2AC3" w:rsidP="007E42E3">
      <w:pPr>
        <w:ind w:left="432" w:hanging="432"/>
        <w:rPr>
          <w:sz w:val="22"/>
          <w:szCs w:val="22"/>
        </w:rPr>
      </w:pPr>
      <w:r w:rsidRPr="00076D87">
        <w:rPr>
          <w:sz w:val="22"/>
          <w:szCs w:val="22"/>
        </w:rPr>
        <w:t xml:space="preserve">—— (2016) “KOL207 | Patent, Copyright, and Trademark Are Not About Plagiarism, Theft, Fraud, or Contract.” </w:t>
      </w:r>
      <w:r w:rsidRPr="00076D87">
        <w:rPr>
          <w:i/>
          <w:iCs/>
          <w:sz w:val="22"/>
          <w:szCs w:val="22"/>
        </w:rPr>
        <w:t>Kinsella on Liberty Podcast</w:t>
      </w:r>
      <w:r w:rsidRPr="00076D87">
        <w:rPr>
          <w:sz w:val="22"/>
          <w:szCs w:val="22"/>
        </w:rPr>
        <w:t xml:space="preserve"> (February 21, 2016); </w:t>
      </w:r>
      <w:hyperlink r:id="rId34" w:history="1">
        <w:r w:rsidRPr="00076D87">
          <w:rPr>
            <w:rStyle w:val="Hyperlink"/>
            <w:sz w:val="22"/>
            <w:szCs w:val="22"/>
          </w:rPr>
          <w:t>https://www.stephankinsella.com/paf-podcast/kol207-patent-copyright-and-trademark-are-not-about-plagiarism-theft-fraud-or-contract/</w:t>
        </w:r>
      </w:hyperlink>
      <w:r w:rsidRPr="00076D87">
        <w:rPr>
          <w:sz w:val="22"/>
          <w:szCs w:val="22"/>
        </w:rPr>
        <w:t xml:space="preserve"> </w:t>
      </w:r>
    </w:p>
    <w:p w14:paraId="363F7820" w14:textId="77777777" w:rsidR="003568E0" w:rsidRPr="003530F9" w:rsidRDefault="00AC2F39" w:rsidP="007E42E3">
      <w:pPr>
        <w:ind w:left="432" w:hanging="432"/>
        <w:rPr>
          <w:sz w:val="22"/>
          <w:szCs w:val="22"/>
        </w:rPr>
      </w:pPr>
      <w:r w:rsidRPr="00076D87">
        <w:rPr>
          <w:sz w:val="22"/>
          <w:szCs w:val="22"/>
        </w:rPr>
        <w:t>—— (2021) “Libertarian Answer Man: Self-ownership for slaves and Crusoe; and Yiannopoulos on Accurate Analysis and the term “Property”; Mises distinguishing between juristic and economic categories of “ownership””, April 3</w:t>
      </w:r>
      <w:r w:rsidR="00B256FD" w:rsidRPr="00076D87">
        <w:rPr>
          <w:sz w:val="22"/>
          <w:szCs w:val="22"/>
        </w:rPr>
        <w:t>;</w:t>
      </w:r>
      <w:r w:rsidRPr="00076D87">
        <w:rPr>
          <w:sz w:val="22"/>
          <w:szCs w:val="22"/>
        </w:rPr>
        <w:t xml:space="preserve"> </w:t>
      </w:r>
      <w:hyperlink r:id="rId35" w:history="1">
        <w:r w:rsidRPr="00076D87">
          <w:rPr>
            <w:rStyle w:val="Hyperlink"/>
            <w:sz w:val="22"/>
            <w:szCs w:val="22"/>
          </w:rPr>
          <w:t>https://www.stephankinsella.com/2021/04/libertarian-answer-man-self-ownership-for-slaves-and-crusoe/</w:t>
        </w:r>
      </w:hyperlink>
    </w:p>
    <w:p w14:paraId="71C8DB71" w14:textId="2B1990F8" w:rsidR="002F3445" w:rsidRPr="00076D87" w:rsidRDefault="00AC2F39" w:rsidP="007E42E3">
      <w:pPr>
        <w:ind w:left="432" w:hanging="432"/>
        <w:rPr>
          <w:sz w:val="22"/>
          <w:szCs w:val="22"/>
        </w:rPr>
      </w:pPr>
      <w:r w:rsidRPr="00076D87">
        <w:rPr>
          <w:sz w:val="22"/>
          <w:szCs w:val="22"/>
        </w:rPr>
        <w:t>—— (2023</w:t>
      </w:r>
      <w:r w:rsidR="00F73E39">
        <w:rPr>
          <w:sz w:val="22"/>
          <w:szCs w:val="22"/>
        </w:rPr>
        <w:t>a</w:t>
      </w:r>
      <w:r w:rsidR="002F3445" w:rsidRPr="00076D87">
        <w:rPr>
          <w:sz w:val="22"/>
          <w:szCs w:val="22"/>
        </w:rPr>
        <w:t>) “A Libertarian Theory of Contract: Title Transfer, Binding Promises, and Inalienability</w:t>
      </w:r>
      <w:r w:rsidR="00F73E39">
        <w:rPr>
          <w:sz w:val="22"/>
          <w:szCs w:val="22"/>
        </w:rPr>
        <w:t>.</w:t>
      </w:r>
      <w:r w:rsidR="002F3445" w:rsidRPr="00076D87">
        <w:rPr>
          <w:sz w:val="22"/>
          <w:szCs w:val="22"/>
        </w:rPr>
        <w:t>”</w:t>
      </w:r>
      <w:r w:rsidR="00F73E39">
        <w:rPr>
          <w:sz w:val="22"/>
          <w:szCs w:val="22"/>
        </w:rPr>
        <w:t xml:space="preserve"> In S. Kinsella,</w:t>
      </w:r>
      <w:r w:rsidR="002F3445"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36" w:history="1">
        <w:r w:rsidR="00F73E39" w:rsidRPr="00076D87">
          <w:rPr>
            <w:rStyle w:val="Hyperlink"/>
            <w:sz w:val="22"/>
            <w:szCs w:val="22"/>
          </w:rPr>
          <w:t>www.stephankinsella.com/lffs</w:t>
        </w:r>
      </w:hyperlink>
    </w:p>
    <w:p w14:paraId="550A88A0" w14:textId="51850D36" w:rsidR="003215E4" w:rsidRPr="00076D87" w:rsidRDefault="00CD63E7" w:rsidP="007E42E3">
      <w:pPr>
        <w:ind w:left="432" w:hanging="432"/>
        <w:rPr>
          <w:sz w:val="22"/>
          <w:szCs w:val="22"/>
        </w:rPr>
      </w:pPr>
      <w:r w:rsidRPr="00076D87">
        <w:rPr>
          <w:sz w:val="22"/>
          <w:szCs w:val="22"/>
        </w:rPr>
        <w:t>—— (2023</w:t>
      </w:r>
      <w:r w:rsidR="00F73E39">
        <w:rPr>
          <w:sz w:val="22"/>
          <w:szCs w:val="22"/>
        </w:rPr>
        <w:t>b</w:t>
      </w:r>
      <w:r w:rsidRPr="00076D87">
        <w:rPr>
          <w:sz w:val="22"/>
          <w:szCs w:val="22"/>
        </w:rPr>
        <w:t xml:space="preserve">) “What Libertarianism Is” </w:t>
      </w:r>
      <w:r w:rsidR="00F73E39">
        <w:rPr>
          <w:sz w:val="22"/>
          <w:szCs w:val="22"/>
        </w:rPr>
        <w:t>In S. Kinsella,</w:t>
      </w:r>
      <w:r w:rsidR="00F73E39"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37" w:history="1">
        <w:r w:rsidR="00F73E39" w:rsidRPr="00076D87">
          <w:rPr>
            <w:rStyle w:val="Hyperlink"/>
            <w:sz w:val="22"/>
            <w:szCs w:val="22"/>
          </w:rPr>
          <w:t>www.stephankinsella.com/lffs</w:t>
        </w:r>
      </w:hyperlink>
    </w:p>
    <w:p w14:paraId="71CB638E" w14:textId="7B11CD5F" w:rsidR="007B054C" w:rsidRPr="00076D87" w:rsidRDefault="00C50CB4" w:rsidP="007E42E3">
      <w:pPr>
        <w:ind w:left="432" w:hanging="432"/>
        <w:rPr>
          <w:sz w:val="22"/>
          <w:szCs w:val="22"/>
        </w:rPr>
      </w:pPr>
      <w:r w:rsidRPr="00076D87">
        <w:rPr>
          <w:sz w:val="22"/>
          <w:szCs w:val="22"/>
        </w:rPr>
        <w:t>—— (</w:t>
      </w:r>
      <w:r w:rsidR="002850D7" w:rsidRPr="00076D87">
        <w:rPr>
          <w:sz w:val="22"/>
          <w:szCs w:val="22"/>
        </w:rPr>
        <w:t>2023</w:t>
      </w:r>
      <w:r w:rsidR="00F73E39">
        <w:rPr>
          <w:sz w:val="22"/>
          <w:szCs w:val="22"/>
        </w:rPr>
        <w:t>c</w:t>
      </w:r>
      <w:r w:rsidR="002850D7" w:rsidRPr="00076D87">
        <w:rPr>
          <w:sz w:val="22"/>
          <w:szCs w:val="22"/>
        </w:rPr>
        <w:t xml:space="preserve">) “How We Come to Own Ourselves” </w:t>
      </w:r>
      <w:r w:rsidR="00F73E39">
        <w:rPr>
          <w:sz w:val="22"/>
          <w:szCs w:val="22"/>
        </w:rPr>
        <w:t>In S. Kinsella,</w:t>
      </w:r>
      <w:r w:rsidR="00F73E39"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38" w:history="1">
        <w:r w:rsidR="00F73E39" w:rsidRPr="00076D87">
          <w:rPr>
            <w:rStyle w:val="Hyperlink"/>
            <w:sz w:val="22"/>
            <w:szCs w:val="22"/>
          </w:rPr>
          <w:t>www.stephankinsella.com/lffs</w:t>
        </w:r>
      </w:hyperlink>
    </w:p>
    <w:p w14:paraId="73BD8125" w14:textId="38E02CDD" w:rsidR="00573F13" w:rsidRPr="00076D87" w:rsidRDefault="004563C7" w:rsidP="007E42E3">
      <w:pPr>
        <w:ind w:left="432" w:hanging="432"/>
        <w:rPr>
          <w:sz w:val="22"/>
          <w:szCs w:val="22"/>
        </w:rPr>
      </w:pPr>
      <w:r w:rsidRPr="00076D87">
        <w:rPr>
          <w:sz w:val="22"/>
          <w:szCs w:val="22"/>
        </w:rPr>
        <w:t>—— (2023</w:t>
      </w:r>
      <w:r w:rsidR="00F73E39">
        <w:rPr>
          <w:sz w:val="22"/>
          <w:szCs w:val="22"/>
        </w:rPr>
        <w:t>d</w:t>
      </w:r>
      <w:r w:rsidRPr="00076D87">
        <w:rPr>
          <w:sz w:val="22"/>
          <w:szCs w:val="22"/>
        </w:rPr>
        <w:t xml:space="preserve">) “A Libertarian Theory of Punishment and Rights” </w:t>
      </w:r>
      <w:r w:rsidR="00F73E39">
        <w:rPr>
          <w:sz w:val="22"/>
          <w:szCs w:val="22"/>
        </w:rPr>
        <w:t>In S. Kinsella,</w:t>
      </w:r>
      <w:r w:rsidR="00F73E39"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39" w:history="1">
        <w:r w:rsidR="00F73E39" w:rsidRPr="00076D87">
          <w:rPr>
            <w:rStyle w:val="Hyperlink"/>
            <w:sz w:val="22"/>
            <w:szCs w:val="22"/>
          </w:rPr>
          <w:t>www.stephankinsella.com/lffs</w:t>
        </w:r>
      </w:hyperlink>
    </w:p>
    <w:p w14:paraId="0AF1E347" w14:textId="499A86BA" w:rsidR="0014344F" w:rsidRPr="00076D87" w:rsidRDefault="008F7742" w:rsidP="007E42E3">
      <w:pPr>
        <w:ind w:left="432" w:hanging="432"/>
        <w:rPr>
          <w:sz w:val="22"/>
          <w:szCs w:val="22"/>
        </w:rPr>
      </w:pPr>
      <w:r w:rsidRPr="00076D87">
        <w:rPr>
          <w:sz w:val="22"/>
          <w:szCs w:val="22"/>
        </w:rPr>
        <w:t>—— (2023</w:t>
      </w:r>
      <w:r w:rsidR="00F73E39">
        <w:rPr>
          <w:sz w:val="22"/>
          <w:szCs w:val="22"/>
        </w:rPr>
        <w:t>e</w:t>
      </w:r>
      <w:r w:rsidRPr="00076D87">
        <w:rPr>
          <w:sz w:val="22"/>
          <w:szCs w:val="22"/>
        </w:rPr>
        <w:t xml:space="preserve">) “Reply to Van Dun: Non-Aggression and Title Transfer” </w:t>
      </w:r>
      <w:r w:rsidR="00F73E39">
        <w:rPr>
          <w:sz w:val="22"/>
          <w:szCs w:val="22"/>
        </w:rPr>
        <w:t>In S. Kinsella,</w:t>
      </w:r>
      <w:r w:rsidR="00F73E39"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40" w:history="1">
        <w:r w:rsidR="00F73E39" w:rsidRPr="00076D87">
          <w:rPr>
            <w:rStyle w:val="Hyperlink"/>
            <w:sz w:val="22"/>
            <w:szCs w:val="22"/>
          </w:rPr>
          <w:t>www.stephankinsella.com/lffs</w:t>
        </w:r>
      </w:hyperlink>
    </w:p>
    <w:p w14:paraId="133A9BDE" w14:textId="607ED7B5" w:rsidR="00D72589" w:rsidRPr="00076D87" w:rsidRDefault="00D72589" w:rsidP="007E42E3">
      <w:pPr>
        <w:ind w:left="432" w:hanging="432"/>
        <w:rPr>
          <w:sz w:val="22"/>
          <w:szCs w:val="22"/>
        </w:rPr>
      </w:pPr>
      <w:bookmarkStart w:id="103" w:name="OLE_LINK751"/>
      <w:bookmarkStart w:id="104" w:name="OLE_LINK752"/>
      <w:r w:rsidRPr="00076D87">
        <w:rPr>
          <w:sz w:val="22"/>
          <w:szCs w:val="22"/>
        </w:rPr>
        <w:t>—— (</w:t>
      </w:r>
      <w:bookmarkStart w:id="105" w:name="OLE_LINK775"/>
      <w:bookmarkStart w:id="106" w:name="OLE_LINK444"/>
      <w:bookmarkStart w:id="107" w:name="OLE_LINK445"/>
      <w:r w:rsidRPr="00076D87">
        <w:rPr>
          <w:sz w:val="22"/>
          <w:szCs w:val="22"/>
        </w:rPr>
        <w:t>2023</w:t>
      </w:r>
      <w:bookmarkEnd w:id="105"/>
      <w:bookmarkEnd w:id="106"/>
      <w:bookmarkEnd w:id="107"/>
      <w:r w:rsidR="00F73E39">
        <w:rPr>
          <w:sz w:val="22"/>
          <w:szCs w:val="22"/>
        </w:rPr>
        <w:t>f</w:t>
      </w:r>
      <w:r w:rsidRPr="00076D87">
        <w:rPr>
          <w:sz w:val="22"/>
          <w:szCs w:val="22"/>
        </w:rPr>
        <w:t>)</w:t>
      </w:r>
      <w:bookmarkEnd w:id="103"/>
      <w:bookmarkEnd w:id="104"/>
      <w:r w:rsidRPr="00076D87">
        <w:rPr>
          <w:sz w:val="22"/>
          <w:szCs w:val="22"/>
        </w:rPr>
        <w:t xml:space="preserve"> “Selling Does Not Imply Ownership, and Vice-Versa: A Dissection” </w:t>
      </w:r>
      <w:r w:rsidR="00F73E39">
        <w:rPr>
          <w:sz w:val="22"/>
          <w:szCs w:val="22"/>
        </w:rPr>
        <w:t>In S. Kinsella,</w:t>
      </w:r>
      <w:r w:rsidR="00F73E39"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41" w:history="1">
        <w:r w:rsidR="00F73E39" w:rsidRPr="00076D87">
          <w:rPr>
            <w:rStyle w:val="Hyperlink"/>
            <w:sz w:val="22"/>
            <w:szCs w:val="22"/>
          </w:rPr>
          <w:t>www.stephankinsella.com/lffs</w:t>
        </w:r>
      </w:hyperlink>
    </w:p>
    <w:p w14:paraId="6CF78BB3" w14:textId="3BBF7C8F" w:rsidR="003D6E44" w:rsidRPr="00076D87" w:rsidRDefault="003D6E44" w:rsidP="00996300">
      <w:pPr>
        <w:ind w:left="432" w:hanging="432"/>
        <w:rPr>
          <w:sz w:val="22"/>
          <w:szCs w:val="22"/>
        </w:rPr>
      </w:pPr>
      <w:r w:rsidRPr="00076D87">
        <w:rPr>
          <w:sz w:val="22"/>
          <w:szCs w:val="22"/>
        </w:rPr>
        <w:t>—— (2023</w:t>
      </w:r>
      <w:r w:rsidR="00F73E39">
        <w:rPr>
          <w:sz w:val="22"/>
          <w:szCs w:val="22"/>
        </w:rPr>
        <w:t>g</w:t>
      </w:r>
      <w:r w:rsidRPr="00076D87">
        <w:rPr>
          <w:sz w:val="22"/>
          <w:szCs w:val="22"/>
        </w:rPr>
        <w:t>) “</w:t>
      </w:r>
      <w:r w:rsidRPr="00076D87">
        <w:rPr>
          <w:i/>
          <w:iCs/>
          <w:sz w:val="22"/>
          <w:szCs w:val="22"/>
        </w:rPr>
        <w:t>Against Intellectual Property</w:t>
      </w:r>
      <w:r w:rsidRPr="00076D87">
        <w:rPr>
          <w:sz w:val="22"/>
          <w:szCs w:val="22"/>
        </w:rPr>
        <w:t xml:space="preserve"> After Twenty Years: Looking Back and Looking Forward”</w:t>
      </w:r>
      <w:r w:rsidR="00F73E39">
        <w:rPr>
          <w:sz w:val="22"/>
          <w:szCs w:val="22"/>
        </w:rPr>
        <w:t xml:space="preserve"> </w:t>
      </w:r>
      <w:r w:rsidR="00F73E39">
        <w:rPr>
          <w:sz w:val="22"/>
          <w:szCs w:val="22"/>
        </w:rPr>
        <w:t>In S. Kinsella,</w:t>
      </w:r>
      <w:r w:rsidR="00F73E39" w:rsidRPr="00076D87">
        <w:rPr>
          <w:sz w:val="22"/>
          <w:szCs w:val="22"/>
        </w:rPr>
        <w:t xml:space="preserve"> </w:t>
      </w:r>
      <w:hyperlink w:history="1">
        <w:r w:rsidR="00F73E39" w:rsidRPr="00076D87">
          <w:rPr>
            <w:rStyle w:val="Hyperlink"/>
            <w:i/>
            <w:iCs/>
            <w:sz w:val="22"/>
            <w:szCs w:val="22"/>
          </w:rPr>
          <w:t>Legal Foundations of a Free Society</w:t>
        </w:r>
      </w:hyperlink>
      <w:r w:rsidR="00F73E39" w:rsidRPr="00076D87">
        <w:rPr>
          <w:sz w:val="22"/>
          <w:szCs w:val="22"/>
        </w:rPr>
        <w:t xml:space="preserve">. Houston, Texas: Papinian Press; </w:t>
      </w:r>
      <w:hyperlink r:id="rId42" w:history="1">
        <w:r w:rsidR="00F73E39" w:rsidRPr="00076D87">
          <w:rPr>
            <w:rStyle w:val="Hyperlink"/>
            <w:sz w:val="22"/>
            <w:szCs w:val="22"/>
          </w:rPr>
          <w:t>www.stephankinsella.com/lffs</w:t>
        </w:r>
      </w:hyperlink>
    </w:p>
    <w:p w14:paraId="45F6B0D3" w14:textId="6A04A163" w:rsidR="003A2122" w:rsidRPr="00076D87" w:rsidRDefault="003A2122" w:rsidP="00996300">
      <w:pPr>
        <w:ind w:left="432" w:hanging="432"/>
        <w:rPr>
          <w:sz w:val="22"/>
          <w:szCs w:val="22"/>
        </w:rPr>
      </w:pPr>
      <w:r w:rsidRPr="00076D87">
        <w:rPr>
          <w:sz w:val="22"/>
          <w:szCs w:val="22"/>
        </w:rPr>
        <w:t xml:space="preserve">—— (April 19, 2025) “On Property Rights in Superabundant Bananas and Property Rights as Normative Support for Possession.” </w:t>
      </w:r>
      <w:r w:rsidRPr="003530F9">
        <w:rPr>
          <w:i/>
          <w:iCs/>
          <w:sz w:val="22"/>
          <w:szCs w:val="22"/>
        </w:rPr>
        <w:t>StephanKinsella.com</w:t>
      </w:r>
      <w:r w:rsidRPr="00076D87">
        <w:rPr>
          <w:sz w:val="22"/>
          <w:szCs w:val="22"/>
        </w:rPr>
        <w:t>. https://stephankinsella.com/2025/04/superabundant-bananas-property-rights-normative-support/</w:t>
      </w:r>
    </w:p>
    <w:p w14:paraId="20BB8944" w14:textId="6E015FAA" w:rsidR="003515CA" w:rsidRPr="00076D87" w:rsidRDefault="003515CA" w:rsidP="007E42E3">
      <w:pPr>
        <w:ind w:left="432" w:hanging="432"/>
        <w:rPr>
          <w:sz w:val="22"/>
          <w:szCs w:val="22"/>
        </w:rPr>
      </w:pPr>
      <w:bookmarkStart w:id="108" w:name="OLE_LINK815"/>
      <w:bookmarkStart w:id="109" w:name="OLE_LINK816"/>
      <w:bookmarkEnd w:id="101"/>
      <w:bookmarkEnd w:id="102"/>
      <w:r w:rsidRPr="00076D87">
        <w:rPr>
          <w:sz w:val="22"/>
          <w:szCs w:val="22"/>
        </w:rPr>
        <w:t xml:space="preserve">Kronman, A. (1978). “Specific performance.” </w:t>
      </w:r>
      <w:r w:rsidRPr="00076D87">
        <w:rPr>
          <w:i/>
          <w:iCs/>
          <w:sz w:val="22"/>
          <w:szCs w:val="22"/>
        </w:rPr>
        <w:t>University Chi. L. Rev</w:t>
      </w:r>
      <w:r w:rsidRPr="00076D87">
        <w:rPr>
          <w:sz w:val="22"/>
          <w:szCs w:val="22"/>
        </w:rPr>
        <w:t>. 45</w:t>
      </w:r>
      <w:r w:rsidR="00F97ACE" w:rsidRPr="00076D87">
        <w:rPr>
          <w:sz w:val="22"/>
          <w:szCs w:val="22"/>
        </w:rPr>
        <w:t xml:space="preserve">, no. </w:t>
      </w:r>
      <w:r w:rsidRPr="00076D87">
        <w:rPr>
          <w:sz w:val="22"/>
          <w:szCs w:val="22"/>
        </w:rPr>
        <w:t>2</w:t>
      </w:r>
      <w:r w:rsidR="00F97ACE" w:rsidRPr="00076D87">
        <w:rPr>
          <w:sz w:val="22"/>
          <w:szCs w:val="22"/>
        </w:rPr>
        <w:t>:</w:t>
      </w:r>
      <w:r w:rsidR="00042D82" w:rsidRPr="00076D87">
        <w:rPr>
          <w:sz w:val="22"/>
          <w:szCs w:val="22"/>
        </w:rPr>
        <w:t xml:space="preserve"> pp.</w:t>
      </w:r>
      <w:r w:rsidRPr="00076D87">
        <w:rPr>
          <w:sz w:val="22"/>
          <w:szCs w:val="22"/>
        </w:rPr>
        <w:t xml:space="preserve"> 351–82</w:t>
      </w:r>
      <w:bookmarkEnd w:id="108"/>
      <w:bookmarkEnd w:id="109"/>
      <w:r w:rsidR="003D3A50" w:rsidRPr="00076D87">
        <w:rPr>
          <w:sz w:val="22"/>
          <w:szCs w:val="22"/>
        </w:rPr>
        <w:t xml:space="preserve">; </w:t>
      </w:r>
      <w:bookmarkStart w:id="110" w:name="OLE_LINK819"/>
      <w:bookmarkStart w:id="111" w:name="OLE_LINK820"/>
      <w:r w:rsidR="003D3A50" w:rsidRPr="00076D87">
        <w:rPr>
          <w:sz w:val="22"/>
          <w:szCs w:val="22"/>
        </w:rPr>
        <w:fldChar w:fldCharType="begin"/>
      </w:r>
      <w:r w:rsidR="003D3A50" w:rsidRPr="00076D87">
        <w:rPr>
          <w:sz w:val="22"/>
          <w:szCs w:val="22"/>
        </w:rPr>
        <w:instrText>HYPERLINK "https://chicagounbound.uchicago.edu/journal_articles/7723/"</w:instrText>
      </w:r>
      <w:r w:rsidR="003D3A50" w:rsidRPr="00076D87">
        <w:rPr>
          <w:sz w:val="22"/>
          <w:szCs w:val="22"/>
        </w:rPr>
      </w:r>
      <w:r w:rsidR="003D3A50" w:rsidRPr="00076D87">
        <w:rPr>
          <w:sz w:val="22"/>
          <w:szCs w:val="22"/>
        </w:rPr>
        <w:fldChar w:fldCharType="separate"/>
      </w:r>
      <w:r w:rsidR="003D3A50" w:rsidRPr="00076D87">
        <w:rPr>
          <w:rStyle w:val="Hyperlink"/>
          <w:sz w:val="22"/>
          <w:szCs w:val="22"/>
        </w:rPr>
        <w:t>https://chicagounbound.uchicago.edu/journal_articles/7723/</w:t>
      </w:r>
      <w:r w:rsidR="003D3A50" w:rsidRPr="00076D87">
        <w:rPr>
          <w:sz w:val="22"/>
          <w:szCs w:val="22"/>
        </w:rPr>
        <w:fldChar w:fldCharType="end"/>
      </w:r>
      <w:bookmarkEnd w:id="110"/>
      <w:bookmarkEnd w:id="111"/>
    </w:p>
    <w:p w14:paraId="0B0DA53A" w14:textId="75FD713B" w:rsidR="00D212C2" w:rsidRPr="00076D87" w:rsidRDefault="00D212C2" w:rsidP="007E42E3">
      <w:pPr>
        <w:ind w:left="432" w:hanging="432"/>
        <w:rPr>
          <w:sz w:val="22"/>
          <w:szCs w:val="22"/>
          <w:lang w:val="es-ES"/>
        </w:rPr>
      </w:pPr>
      <w:r w:rsidRPr="00076D87">
        <w:rPr>
          <w:sz w:val="22"/>
          <w:szCs w:val="22"/>
          <w:lang w:val="es-ES"/>
        </w:rPr>
        <w:t xml:space="preserve">La. </w:t>
      </w:r>
      <w:proofErr w:type="spellStart"/>
      <w:r w:rsidRPr="00076D87">
        <w:rPr>
          <w:sz w:val="22"/>
          <w:szCs w:val="22"/>
          <w:lang w:val="es-ES"/>
        </w:rPr>
        <w:t>Ci</w:t>
      </w:r>
      <w:r w:rsidR="00FA250A" w:rsidRPr="00076D87">
        <w:rPr>
          <w:sz w:val="22"/>
          <w:szCs w:val="22"/>
          <w:lang w:val="es-ES"/>
        </w:rPr>
        <w:t>v</w:t>
      </w:r>
      <w:proofErr w:type="spellEnd"/>
      <w:r w:rsidR="00FA250A" w:rsidRPr="00076D87">
        <w:rPr>
          <w:sz w:val="22"/>
          <w:szCs w:val="22"/>
          <w:lang w:val="es-ES"/>
        </w:rPr>
        <w:t>.</w:t>
      </w:r>
      <w:r w:rsidRPr="00076D87">
        <w:rPr>
          <w:sz w:val="22"/>
          <w:szCs w:val="22"/>
          <w:lang w:val="es-ES"/>
        </w:rPr>
        <w:t xml:space="preserve"> Code (2024)</w:t>
      </w:r>
      <w:r w:rsidR="00D53CA9" w:rsidRPr="00076D87">
        <w:rPr>
          <w:sz w:val="22"/>
          <w:szCs w:val="22"/>
          <w:lang w:val="es-ES"/>
        </w:rPr>
        <w:t>;</w:t>
      </w:r>
      <w:r w:rsidRPr="00076D87">
        <w:rPr>
          <w:sz w:val="22"/>
          <w:szCs w:val="22"/>
          <w:lang w:val="es-ES"/>
        </w:rPr>
        <w:t xml:space="preserve"> </w:t>
      </w:r>
      <w:hyperlink r:id="rId43" w:history="1">
        <w:r w:rsidR="007E42E3" w:rsidRPr="00076D87">
          <w:rPr>
            <w:rStyle w:val="Hyperlink"/>
            <w:sz w:val="22"/>
            <w:szCs w:val="22"/>
            <w:lang w:val="es-ES"/>
          </w:rPr>
          <w:t>https://www.legis.la.gov/legis/Laws_Toc.aspx?folder=67&amp;level=Parent</w:t>
        </w:r>
      </w:hyperlink>
      <w:r w:rsidRPr="00076D87">
        <w:rPr>
          <w:sz w:val="22"/>
          <w:szCs w:val="22"/>
          <w:lang w:val="es-ES"/>
        </w:rPr>
        <w:t xml:space="preserve"> </w:t>
      </w:r>
    </w:p>
    <w:p w14:paraId="09191465" w14:textId="0054AD5C" w:rsidR="00944FC6" w:rsidRPr="00076D87" w:rsidRDefault="00944FC6" w:rsidP="007E42E3">
      <w:pPr>
        <w:ind w:left="432" w:hanging="432"/>
        <w:rPr>
          <w:sz w:val="22"/>
          <w:szCs w:val="22"/>
          <w:lang w:val="es-ES"/>
        </w:rPr>
      </w:pPr>
      <w:r w:rsidRPr="00076D87">
        <w:rPr>
          <w:sz w:val="22"/>
          <w:szCs w:val="22"/>
          <w:lang w:val="es-ES"/>
        </w:rPr>
        <w:t xml:space="preserve">La. Code </w:t>
      </w:r>
      <w:proofErr w:type="spellStart"/>
      <w:r w:rsidRPr="00076D87">
        <w:rPr>
          <w:sz w:val="22"/>
          <w:szCs w:val="22"/>
          <w:lang w:val="es-ES"/>
        </w:rPr>
        <w:t>Civ</w:t>
      </w:r>
      <w:proofErr w:type="spellEnd"/>
      <w:r w:rsidRPr="00076D87">
        <w:rPr>
          <w:sz w:val="22"/>
          <w:szCs w:val="22"/>
          <w:lang w:val="es-ES"/>
        </w:rPr>
        <w:t xml:space="preserve">. </w:t>
      </w:r>
      <w:proofErr w:type="spellStart"/>
      <w:r w:rsidRPr="00076D87">
        <w:rPr>
          <w:sz w:val="22"/>
          <w:szCs w:val="22"/>
          <w:lang w:val="es-ES"/>
        </w:rPr>
        <w:t>Proc</w:t>
      </w:r>
      <w:proofErr w:type="spellEnd"/>
      <w:r w:rsidRPr="00076D87">
        <w:rPr>
          <w:sz w:val="22"/>
          <w:szCs w:val="22"/>
          <w:lang w:val="es-ES"/>
        </w:rPr>
        <w:t xml:space="preserve">. (2024); </w:t>
      </w:r>
      <w:hyperlink r:id="rId44" w:history="1">
        <w:r w:rsidR="007E42E3" w:rsidRPr="00076D87">
          <w:rPr>
            <w:rStyle w:val="Hyperlink"/>
            <w:sz w:val="22"/>
            <w:szCs w:val="22"/>
            <w:lang w:val="es-ES"/>
          </w:rPr>
          <w:t>https://legis.la.gov/legis/Laws_Toc.aspx?folder=68&amp;level=Parent</w:t>
        </w:r>
      </w:hyperlink>
      <w:r w:rsidRPr="00076D87">
        <w:rPr>
          <w:sz w:val="22"/>
          <w:szCs w:val="22"/>
          <w:lang w:val="es-ES"/>
        </w:rPr>
        <w:t xml:space="preserve"> </w:t>
      </w:r>
    </w:p>
    <w:p w14:paraId="56E48BB7" w14:textId="62DD007B" w:rsidR="00AC3A5F" w:rsidRPr="00076D87" w:rsidRDefault="00AC3A5F" w:rsidP="007E42E3">
      <w:pPr>
        <w:ind w:left="432" w:hanging="432"/>
        <w:rPr>
          <w:sz w:val="22"/>
          <w:szCs w:val="22"/>
        </w:rPr>
      </w:pPr>
      <w:proofErr w:type="spellStart"/>
      <w:r w:rsidRPr="00076D87">
        <w:rPr>
          <w:sz w:val="22"/>
          <w:szCs w:val="22"/>
        </w:rPr>
        <w:t>Larroumet</w:t>
      </w:r>
      <w:proofErr w:type="spellEnd"/>
      <w:r w:rsidRPr="00076D87">
        <w:rPr>
          <w:sz w:val="22"/>
          <w:szCs w:val="22"/>
        </w:rPr>
        <w:t>, C. (1986) “</w:t>
      </w:r>
      <w:hyperlink r:id="rId45" w:history="1">
        <w:r w:rsidRPr="00076D87">
          <w:rPr>
            <w:rStyle w:val="Hyperlink"/>
            <w:sz w:val="22"/>
            <w:szCs w:val="22"/>
          </w:rPr>
          <w:t>Detrimental Reliance and Promissory Estoppel as the Cause of Contracts in Louisiana and Comparative Law</w:t>
        </w:r>
      </w:hyperlink>
      <w:r w:rsidRPr="00076D87">
        <w:rPr>
          <w:sz w:val="22"/>
          <w:szCs w:val="22"/>
        </w:rPr>
        <w:t xml:space="preserve">,” </w:t>
      </w:r>
      <w:r w:rsidRPr="00076D87">
        <w:rPr>
          <w:i/>
          <w:iCs/>
          <w:sz w:val="22"/>
          <w:szCs w:val="22"/>
        </w:rPr>
        <w:t>Tul. L. Rev.</w:t>
      </w:r>
      <w:r w:rsidRPr="00076D87">
        <w:rPr>
          <w:sz w:val="22"/>
          <w:szCs w:val="22"/>
        </w:rPr>
        <w:t xml:space="preserve"> 60, no. 6: pp. 1209–30</w:t>
      </w:r>
    </w:p>
    <w:p w14:paraId="4D365FA7" w14:textId="374FF07D" w:rsidR="00EE781A" w:rsidRPr="00076D87" w:rsidRDefault="0094643E" w:rsidP="007E42E3">
      <w:pPr>
        <w:ind w:left="432" w:hanging="432"/>
        <w:rPr>
          <w:sz w:val="22"/>
          <w:szCs w:val="22"/>
        </w:rPr>
      </w:pPr>
      <w:bookmarkStart w:id="112" w:name="OLE_LINK711"/>
      <w:bookmarkStart w:id="113" w:name="OLE_LINK712"/>
      <w:r w:rsidRPr="00076D87">
        <w:rPr>
          <w:sz w:val="22"/>
          <w:szCs w:val="22"/>
        </w:rPr>
        <w:t>Levasseur, A.</w:t>
      </w:r>
      <w:bookmarkEnd w:id="112"/>
      <w:bookmarkEnd w:id="113"/>
      <w:r w:rsidR="00A72C20" w:rsidRPr="00076D87">
        <w:rPr>
          <w:sz w:val="22"/>
          <w:szCs w:val="22"/>
        </w:rPr>
        <w:t xml:space="preserve"> (2009) </w:t>
      </w:r>
      <w:r w:rsidR="00A72C20" w:rsidRPr="00076D87">
        <w:rPr>
          <w:i/>
          <w:iCs/>
          <w:sz w:val="22"/>
          <w:szCs w:val="22"/>
        </w:rPr>
        <w:t xml:space="preserve">Louisiana Law of Obligations in General: </w:t>
      </w:r>
      <w:bookmarkStart w:id="114" w:name="OLE_LINK713"/>
      <w:bookmarkStart w:id="115" w:name="OLE_LINK714"/>
      <w:r w:rsidR="00A72C20" w:rsidRPr="00076D87">
        <w:rPr>
          <w:i/>
          <w:iCs/>
          <w:sz w:val="22"/>
          <w:szCs w:val="22"/>
        </w:rPr>
        <w:t>A Précis</w:t>
      </w:r>
      <w:r w:rsidR="001A0772" w:rsidRPr="00076D87">
        <w:rPr>
          <w:sz w:val="22"/>
          <w:szCs w:val="22"/>
        </w:rPr>
        <w:t>,</w:t>
      </w:r>
      <w:r w:rsidR="00A72C20" w:rsidRPr="00076D87">
        <w:rPr>
          <w:sz w:val="22"/>
          <w:szCs w:val="22"/>
        </w:rPr>
        <w:t xml:space="preserve"> 3</w:t>
      </w:r>
      <w:r w:rsidR="001A0772" w:rsidRPr="00076D87">
        <w:rPr>
          <w:sz w:val="22"/>
          <w:szCs w:val="22"/>
          <w:vertAlign w:val="superscript"/>
        </w:rPr>
        <w:t>r</w:t>
      </w:r>
      <w:r w:rsidR="00A72C20" w:rsidRPr="00076D87">
        <w:rPr>
          <w:sz w:val="22"/>
          <w:szCs w:val="22"/>
          <w:vertAlign w:val="superscript"/>
        </w:rPr>
        <w:t>d</w:t>
      </w:r>
      <w:r w:rsidR="00A72C20" w:rsidRPr="00076D87">
        <w:rPr>
          <w:sz w:val="22"/>
          <w:szCs w:val="22"/>
        </w:rPr>
        <w:t xml:space="preserve"> ed. LexisNexis</w:t>
      </w:r>
      <w:r w:rsidR="005C4F89" w:rsidRPr="00076D87">
        <w:rPr>
          <w:sz w:val="22"/>
          <w:szCs w:val="22"/>
        </w:rPr>
        <w:t xml:space="preserve"> </w:t>
      </w:r>
      <w:bookmarkEnd w:id="114"/>
      <w:bookmarkEnd w:id="115"/>
    </w:p>
    <w:p w14:paraId="68EB1EE6" w14:textId="0AE36DA2" w:rsidR="00BC7A5B" w:rsidRPr="00076D87" w:rsidRDefault="00073AF4" w:rsidP="007E42E3">
      <w:pPr>
        <w:ind w:left="432" w:hanging="432"/>
        <w:rPr>
          <w:sz w:val="22"/>
          <w:szCs w:val="22"/>
        </w:rPr>
      </w:pPr>
      <w:r w:rsidRPr="00076D87">
        <w:rPr>
          <w:sz w:val="22"/>
          <w:szCs w:val="22"/>
        </w:rPr>
        <w:t xml:space="preserve">—— </w:t>
      </w:r>
      <w:r w:rsidR="00A72C20" w:rsidRPr="00076D87">
        <w:rPr>
          <w:sz w:val="22"/>
          <w:szCs w:val="22"/>
        </w:rPr>
        <w:t xml:space="preserve">(2010) </w:t>
      </w:r>
      <w:r w:rsidR="00A72C20" w:rsidRPr="00076D87">
        <w:rPr>
          <w:i/>
          <w:iCs/>
          <w:sz w:val="22"/>
          <w:szCs w:val="22"/>
        </w:rPr>
        <w:t>Louisiana Law of Conventional Obligations: A Précis</w:t>
      </w:r>
      <w:r w:rsidR="002757F9" w:rsidRPr="00076D87">
        <w:rPr>
          <w:sz w:val="22"/>
          <w:szCs w:val="22"/>
        </w:rPr>
        <w:t>.</w:t>
      </w:r>
      <w:r w:rsidR="00A72C20" w:rsidRPr="00076D87">
        <w:rPr>
          <w:sz w:val="22"/>
          <w:szCs w:val="22"/>
        </w:rPr>
        <w:t xml:space="preserve"> LexisNexis </w:t>
      </w:r>
    </w:p>
    <w:p w14:paraId="4B5A5C3E" w14:textId="5DD8F2B2" w:rsidR="000A3403" w:rsidRPr="00076D87" w:rsidRDefault="000A3403" w:rsidP="007E42E3">
      <w:pPr>
        <w:ind w:left="432" w:hanging="432"/>
        <w:rPr>
          <w:sz w:val="22"/>
          <w:szCs w:val="22"/>
        </w:rPr>
      </w:pPr>
      <w:r w:rsidRPr="00076D87">
        <w:rPr>
          <w:sz w:val="22"/>
          <w:szCs w:val="22"/>
        </w:rPr>
        <w:lastRenderedPageBreak/>
        <w:t xml:space="preserve">—— (2020) </w:t>
      </w:r>
      <w:r w:rsidR="002833A1" w:rsidRPr="00076D87">
        <w:rPr>
          <w:i/>
          <w:iCs/>
          <w:sz w:val="22"/>
          <w:szCs w:val="22"/>
        </w:rPr>
        <w:t>Louisiana Law of Obligations in General: A Comparative Civil Law Perspective, A Treatise</w:t>
      </w:r>
      <w:r w:rsidR="00592833" w:rsidRPr="00076D87">
        <w:rPr>
          <w:sz w:val="22"/>
          <w:szCs w:val="22"/>
        </w:rPr>
        <w:t xml:space="preserve">. </w:t>
      </w:r>
      <w:bookmarkStart w:id="116" w:name="OLE_LINK715"/>
      <w:bookmarkStart w:id="117" w:name="OLE_LINK716"/>
      <w:r w:rsidRPr="00076D87">
        <w:rPr>
          <w:sz w:val="22"/>
          <w:szCs w:val="22"/>
        </w:rPr>
        <w:t>Durham, NC: Carolina Academic Press</w:t>
      </w:r>
      <w:bookmarkEnd w:id="116"/>
      <w:bookmarkEnd w:id="117"/>
    </w:p>
    <w:p w14:paraId="00494595" w14:textId="65F4FC65" w:rsidR="00AD63B5" w:rsidRPr="00076D87" w:rsidRDefault="00AD63B5" w:rsidP="00996300">
      <w:pPr>
        <w:ind w:left="432" w:hanging="432"/>
        <w:rPr>
          <w:i/>
          <w:iCs/>
          <w:sz w:val="22"/>
          <w:szCs w:val="22"/>
        </w:rPr>
      </w:pPr>
      <w:r w:rsidRPr="00076D87">
        <w:rPr>
          <w:sz w:val="22"/>
          <w:szCs w:val="22"/>
        </w:rPr>
        <w:t xml:space="preserve">Levasseur, A. and Gruning, D. (2015) </w:t>
      </w:r>
      <w:r w:rsidRPr="00076D87">
        <w:rPr>
          <w:i/>
          <w:iCs/>
          <w:sz w:val="22"/>
          <w:szCs w:val="22"/>
        </w:rPr>
        <w:t>Louisiana Law of Sale and Lease: A Précis</w:t>
      </w:r>
      <w:r w:rsidRPr="00076D87">
        <w:rPr>
          <w:sz w:val="22"/>
          <w:szCs w:val="22"/>
        </w:rPr>
        <w:t>, 3</w:t>
      </w:r>
      <w:r w:rsidRPr="00076D87">
        <w:rPr>
          <w:sz w:val="22"/>
          <w:szCs w:val="22"/>
          <w:vertAlign w:val="superscript"/>
        </w:rPr>
        <w:t>rd</w:t>
      </w:r>
      <w:r w:rsidR="00097B64" w:rsidRPr="00076D87">
        <w:rPr>
          <w:sz w:val="22"/>
          <w:szCs w:val="22"/>
        </w:rPr>
        <w:t xml:space="preserve"> ed. </w:t>
      </w:r>
      <w:r w:rsidRPr="00076D87">
        <w:rPr>
          <w:sz w:val="22"/>
          <w:szCs w:val="22"/>
        </w:rPr>
        <w:t>Durham, NC: Carolina Academic Press</w:t>
      </w:r>
    </w:p>
    <w:p w14:paraId="50B21921" w14:textId="7C6677DB" w:rsidR="00A57270" w:rsidRPr="00076D87" w:rsidRDefault="00A57270" w:rsidP="007E42E3">
      <w:pPr>
        <w:ind w:left="432" w:hanging="432"/>
        <w:rPr>
          <w:sz w:val="22"/>
          <w:szCs w:val="22"/>
          <w:lang w:val="es-ES"/>
        </w:rPr>
      </w:pPr>
      <w:r w:rsidRPr="00076D87">
        <w:rPr>
          <w:sz w:val="22"/>
          <w:szCs w:val="22"/>
        </w:rPr>
        <w:t xml:space="preserve">Litvinoff, S. (1987) “Still Another Look at Cause.” </w:t>
      </w:r>
      <w:r w:rsidRPr="00076D87">
        <w:rPr>
          <w:i/>
          <w:iCs/>
          <w:sz w:val="22"/>
          <w:szCs w:val="22"/>
          <w:lang w:val="es-ES"/>
        </w:rPr>
        <w:t>La. L. Rev.</w:t>
      </w:r>
      <w:r w:rsidRPr="00076D87">
        <w:rPr>
          <w:sz w:val="22"/>
          <w:szCs w:val="22"/>
          <w:lang w:val="es-ES"/>
        </w:rPr>
        <w:t xml:space="preserve"> 48, no. 1: </w:t>
      </w:r>
      <w:r w:rsidR="001A0772" w:rsidRPr="00076D87">
        <w:rPr>
          <w:sz w:val="22"/>
          <w:szCs w:val="22"/>
          <w:lang w:val="es-ES"/>
        </w:rPr>
        <w:t xml:space="preserve">pp. </w:t>
      </w:r>
      <w:r w:rsidRPr="00076D87">
        <w:rPr>
          <w:sz w:val="22"/>
          <w:szCs w:val="22"/>
          <w:lang w:val="es-ES"/>
        </w:rPr>
        <w:t>3–28</w:t>
      </w:r>
      <w:r w:rsidR="00E10F0F" w:rsidRPr="00076D87">
        <w:rPr>
          <w:sz w:val="22"/>
          <w:szCs w:val="22"/>
          <w:lang w:val="es-ES"/>
        </w:rPr>
        <w:t>;</w:t>
      </w:r>
      <w:r w:rsidRPr="00076D87">
        <w:rPr>
          <w:sz w:val="22"/>
          <w:szCs w:val="22"/>
          <w:lang w:val="es-ES"/>
        </w:rPr>
        <w:t xml:space="preserve"> </w:t>
      </w:r>
      <w:hyperlink r:id="rId46" w:history="1">
        <w:r w:rsidR="00B60BFC" w:rsidRPr="00076D87">
          <w:rPr>
            <w:rStyle w:val="Hyperlink"/>
            <w:sz w:val="22"/>
            <w:szCs w:val="22"/>
            <w:lang w:val="es-ES"/>
          </w:rPr>
          <w:t>https://digitalcommons.law.lsu.edu/lalrev/vol48/iss1/5/</w:t>
        </w:r>
      </w:hyperlink>
      <w:r w:rsidR="00B60BFC" w:rsidRPr="00076D87">
        <w:rPr>
          <w:sz w:val="22"/>
          <w:szCs w:val="22"/>
          <w:lang w:val="es-ES"/>
        </w:rPr>
        <w:t xml:space="preserve"> </w:t>
      </w:r>
    </w:p>
    <w:p w14:paraId="033B8095" w14:textId="693E2E30" w:rsidR="004E601D" w:rsidRPr="00076D87" w:rsidRDefault="004E601D" w:rsidP="007E42E3">
      <w:pPr>
        <w:ind w:left="432" w:hanging="432"/>
        <w:rPr>
          <w:sz w:val="22"/>
          <w:szCs w:val="22"/>
        </w:rPr>
      </w:pPr>
      <w:r w:rsidRPr="00076D87">
        <w:rPr>
          <w:sz w:val="22"/>
          <w:szCs w:val="22"/>
        </w:rPr>
        <w:t xml:space="preserve">—— (2001) </w:t>
      </w:r>
      <w:r w:rsidRPr="00076D87">
        <w:rPr>
          <w:i/>
          <w:iCs/>
          <w:sz w:val="22"/>
          <w:szCs w:val="22"/>
        </w:rPr>
        <w:t>The Law of Obligations: Part I: Obligations in General</w:t>
      </w:r>
      <w:r w:rsidRPr="00076D87">
        <w:rPr>
          <w:sz w:val="22"/>
          <w:szCs w:val="22"/>
        </w:rPr>
        <w:t>, 2d ed. St. Paul, Minn.: West Publishing Company</w:t>
      </w:r>
    </w:p>
    <w:p w14:paraId="75AA00D3" w14:textId="58AAF1B5" w:rsidR="000E271E" w:rsidRPr="00076D87" w:rsidRDefault="000E271E" w:rsidP="00996300">
      <w:pPr>
        <w:ind w:left="432" w:hanging="432"/>
        <w:rPr>
          <w:sz w:val="22"/>
          <w:szCs w:val="22"/>
        </w:rPr>
      </w:pPr>
      <w:r w:rsidRPr="00076D87">
        <w:rPr>
          <w:sz w:val="22"/>
          <w:szCs w:val="22"/>
        </w:rPr>
        <w:t xml:space="preserve">Mason, M.  (1941) “The Utility of Consideration—A Comparative View.” </w:t>
      </w:r>
      <w:r w:rsidRPr="00076D87">
        <w:rPr>
          <w:i/>
          <w:iCs/>
          <w:sz w:val="22"/>
          <w:szCs w:val="22"/>
        </w:rPr>
        <w:t>Columbia L. Rev.</w:t>
      </w:r>
      <w:r w:rsidRPr="00076D87">
        <w:rPr>
          <w:sz w:val="22"/>
          <w:szCs w:val="22"/>
        </w:rPr>
        <w:t xml:space="preserve"> 41 (1941): 825–48</w:t>
      </w:r>
    </w:p>
    <w:p w14:paraId="7D53BB3E" w14:textId="0DAB55F1" w:rsidR="008B41CD" w:rsidRPr="00076D87" w:rsidRDefault="00B56768" w:rsidP="007E42E3">
      <w:pPr>
        <w:ind w:left="432" w:hanging="432"/>
        <w:rPr>
          <w:sz w:val="22"/>
          <w:szCs w:val="22"/>
        </w:rPr>
      </w:pPr>
      <w:r w:rsidRPr="00076D87">
        <w:rPr>
          <w:sz w:val="22"/>
          <w:szCs w:val="22"/>
        </w:rPr>
        <w:t xml:space="preserve">Mises, L. </w:t>
      </w:r>
      <w:r w:rsidR="008B41CD" w:rsidRPr="00076D87">
        <w:rPr>
          <w:sz w:val="22"/>
          <w:szCs w:val="22"/>
        </w:rPr>
        <w:t xml:space="preserve">(1962) </w:t>
      </w:r>
      <w:r w:rsidR="008B41CD" w:rsidRPr="00076D87">
        <w:rPr>
          <w:i/>
          <w:iCs/>
          <w:sz w:val="22"/>
          <w:szCs w:val="22"/>
        </w:rPr>
        <w:t>The Ultimate Foundation of Economic Science: An Essay on Method</w:t>
      </w:r>
      <w:r w:rsidR="00182A79" w:rsidRPr="00076D87">
        <w:rPr>
          <w:sz w:val="22"/>
          <w:szCs w:val="22"/>
        </w:rPr>
        <w:t xml:space="preserve">. </w:t>
      </w:r>
      <w:r w:rsidR="008B41CD" w:rsidRPr="00076D87">
        <w:rPr>
          <w:sz w:val="22"/>
          <w:szCs w:val="22"/>
        </w:rPr>
        <w:t xml:space="preserve">Princeton, N.J.: D. Van Nostrand Company, Inc.; </w:t>
      </w:r>
      <w:hyperlink r:id="rId47" w:history="1">
        <w:r w:rsidR="00C029E3" w:rsidRPr="00076D87">
          <w:rPr>
            <w:rStyle w:val="Hyperlink"/>
            <w:sz w:val="22"/>
            <w:szCs w:val="22"/>
          </w:rPr>
          <w:t>https://mises.org/library/ultimate-foundation-economic-science</w:t>
        </w:r>
      </w:hyperlink>
      <w:r w:rsidR="00C029E3" w:rsidRPr="00076D87">
        <w:rPr>
          <w:sz w:val="22"/>
          <w:szCs w:val="22"/>
        </w:rPr>
        <w:t xml:space="preserve"> </w:t>
      </w:r>
    </w:p>
    <w:p w14:paraId="45882D84" w14:textId="2A6DA04C" w:rsidR="00A47AF8" w:rsidRPr="00076D87" w:rsidRDefault="00951857" w:rsidP="007E42E3">
      <w:pPr>
        <w:ind w:left="432" w:hanging="432"/>
        <w:rPr>
          <w:sz w:val="22"/>
          <w:szCs w:val="22"/>
        </w:rPr>
      </w:pPr>
      <w:r w:rsidRPr="00076D87">
        <w:rPr>
          <w:sz w:val="22"/>
          <w:szCs w:val="22"/>
        </w:rPr>
        <w:t xml:space="preserve">—— (1981) </w:t>
      </w:r>
      <w:r w:rsidRPr="00076D87">
        <w:rPr>
          <w:i/>
          <w:iCs/>
          <w:sz w:val="22"/>
          <w:szCs w:val="22"/>
        </w:rPr>
        <w:t>Socialism: An Economic and Sociological Analysis</w:t>
      </w:r>
      <w:r w:rsidR="000E0232" w:rsidRPr="00076D87">
        <w:rPr>
          <w:sz w:val="22"/>
          <w:szCs w:val="22"/>
        </w:rPr>
        <w:t>, J. Kahane, trans.</w:t>
      </w:r>
      <w:r w:rsidRPr="00076D87">
        <w:rPr>
          <w:sz w:val="22"/>
          <w:szCs w:val="22"/>
        </w:rPr>
        <w:t xml:space="preserve"> Indianapolis: Liberty </w:t>
      </w:r>
      <w:r w:rsidRPr="00076D87">
        <w:rPr>
          <w:i/>
          <w:iCs/>
          <w:sz w:val="22"/>
          <w:szCs w:val="22"/>
        </w:rPr>
        <w:t>Classics</w:t>
      </w:r>
      <w:r w:rsidRPr="00076D87">
        <w:rPr>
          <w:sz w:val="22"/>
          <w:szCs w:val="22"/>
        </w:rPr>
        <w:t xml:space="preserve">; </w:t>
      </w:r>
      <w:hyperlink r:id="rId48" w:history="1">
        <w:r w:rsidRPr="00076D87">
          <w:rPr>
            <w:rStyle w:val="Hyperlink"/>
            <w:sz w:val="22"/>
            <w:szCs w:val="22"/>
          </w:rPr>
          <w:t>https://mises.org/library/book/socialism-economic-and-sociological-analysis</w:t>
        </w:r>
      </w:hyperlink>
      <w:r w:rsidR="00A47AF8" w:rsidRPr="00076D87">
        <w:rPr>
          <w:sz w:val="22"/>
          <w:szCs w:val="22"/>
        </w:rPr>
        <w:t xml:space="preserve"> </w:t>
      </w:r>
    </w:p>
    <w:p w14:paraId="5F3A9F9C" w14:textId="61E98737" w:rsidR="00BE1CBF" w:rsidRPr="00076D87" w:rsidRDefault="00BE1CBF" w:rsidP="007E42E3">
      <w:pPr>
        <w:ind w:left="432" w:hanging="432"/>
        <w:rPr>
          <w:sz w:val="22"/>
          <w:szCs w:val="22"/>
        </w:rPr>
      </w:pPr>
      <w:r w:rsidRPr="00076D87">
        <w:rPr>
          <w:sz w:val="22"/>
          <w:szCs w:val="22"/>
        </w:rPr>
        <w:t xml:space="preserve">—— (1998) </w:t>
      </w:r>
      <w:r w:rsidRPr="00076D87">
        <w:rPr>
          <w:i/>
          <w:iCs/>
          <w:sz w:val="22"/>
          <w:szCs w:val="22"/>
        </w:rPr>
        <w:t>Human Action: A Treatise on Economics</w:t>
      </w:r>
      <w:r w:rsidRPr="00076D87">
        <w:rPr>
          <w:sz w:val="22"/>
          <w:szCs w:val="22"/>
        </w:rPr>
        <w:t xml:space="preserve">, Scholar’s ed. Auburn, Ala: Mises Institute; </w:t>
      </w:r>
      <w:hyperlink r:id="rId49" w:history="1">
        <w:r w:rsidRPr="00076D87">
          <w:rPr>
            <w:rStyle w:val="Hyperlink"/>
            <w:sz w:val="22"/>
            <w:szCs w:val="22"/>
          </w:rPr>
          <w:t>https://mises.org/library/human-action-0</w:t>
        </w:r>
      </w:hyperlink>
    </w:p>
    <w:p w14:paraId="5C7911F2" w14:textId="5368594E" w:rsidR="00A72C20" w:rsidRPr="003530F9" w:rsidRDefault="00A72C20" w:rsidP="007E42E3">
      <w:pPr>
        <w:ind w:left="432" w:hanging="432"/>
        <w:rPr>
          <w:sz w:val="22"/>
          <w:szCs w:val="22"/>
        </w:rPr>
      </w:pPr>
      <w:r w:rsidRPr="00076D87">
        <w:rPr>
          <w:sz w:val="22"/>
          <w:szCs w:val="22"/>
        </w:rPr>
        <w:t xml:space="preserve">—— (2003) </w:t>
      </w:r>
      <w:r w:rsidRPr="00076D87">
        <w:rPr>
          <w:i/>
          <w:iCs/>
          <w:sz w:val="22"/>
          <w:szCs w:val="22"/>
        </w:rPr>
        <w:t>Epistemological Problems of Economics</w:t>
      </w:r>
      <w:r w:rsidRPr="00076D87">
        <w:rPr>
          <w:sz w:val="22"/>
          <w:szCs w:val="22"/>
        </w:rPr>
        <w:t>, 3</w:t>
      </w:r>
      <w:r w:rsidR="00CD47AB" w:rsidRPr="00076D87">
        <w:rPr>
          <w:sz w:val="22"/>
          <w:szCs w:val="22"/>
          <w:vertAlign w:val="superscript"/>
        </w:rPr>
        <w:t>r</w:t>
      </w:r>
      <w:r w:rsidRPr="00076D87">
        <w:rPr>
          <w:sz w:val="22"/>
          <w:szCs w:val="22"/>
          <w:vertAlign w:val="superscript"/>
        </w:rPr>
        <w:t>d</w:t>
      </w:r>
      <w:r w:rsidRPr="00076D87">
        <w:rPr>
          <w:sz w:val="22"/>
          <w:szCs w:val="22"/>
        </w:rPr>
        <w:t xml:space="preserve"> ed., </w:t>
      </w:r>
      <w:r w:rsidR="00F768D2" w:rsidRPr="00076D87">
        <w:rPr>
          <w:sz w:val="22"/>
          <w:szCs w:val="22"/>
        </w:rPr>
        <w:t>G.</w:t>
      </w:r>
      <w:r w:rsidRPr="00076D87">
        <w:rPr>
          <w:sz w:val="22"/>
          <w:szCs w:val="22"/>
        </w:rPr>
        <w:t xml:space="preserve"> Reisman, trans. Auburn, Ala.: Mises Institute; </w:t>
      </w:r>
      <w:hyperlink r:id="rId50" w:history="1">
        <w:r w:rsidRPr="00076D87">
          <w:rPr>
            <w:rStyle w:val="Hyperlink"/>
            <w:sz w:val="22"/>
            <w:szCs w:val="22"/>
          </w:rPr>
          <w:t>https://mises.org/library/epistemological-problems-economics</w:t>
        </w:r>
      </w:hyperlink>
    </w:p>
    <w:p w14:paraId="2417B0B0" w14:textId="7F5AED0E" w:rsidR="00A0650B" w:rsidRPr="00076D87" w:rsidRDefault="00A0650B" w:rsidP="007E42E3">
      <w:pPr>
        <w:ind w:left="432" w:hanging="432"/>
        <w:rPr>
          <w:sz w:val="22"/>
          <w:szCs w:val="22"/>
        </w:rPr>
      </w:pPr>
      <w:r w:rsidRPr="00076D87">
        <w:rPr>
          <w:sz w:val="22"/>
          <w:szCs w:val="22"/>
        </w:rPr>
        <w:t xml:space="preserve">Penner, H. (1997) </w:t>
      </w:r>
      <w:r w:rsidRPr="003530F9">
        <w:rPr>
          <w:i/>
          <w:iCs/>
          <w:sz w:val="22"/>
          <w:szCs w:val="22"/>
        </w:rPr>
        <w:t>The Idea of Property in Law</w:t>
      </w:r>
      <w:r w:rsidRPr="00076D87">
        <w:rPr>
          <w:sz w:val="22"/>
          <w:szCs w:val="22"/>
        </w:rPr>
        <w:t>. Oxford: Oxford University Press</w:t>
      </w:r>
    </w:p>
    <w:p w14:paraId="216BFD25" w14:textId="61612406" w:rsidR="002E44F6" w:rsidRPr="00076D87" w:rsidRDefault="002E44F6" w:rsidP="007E42E3">
      <w:pPr>
        <w:ind w:left="432" w:hanging="432"/>
        <w:rPr>
          <w:sz w:val="22"/>
          <w:szCs w:val="22"/>
        </w:rPr>
      </w:pPr>
      <w:r w:rsidRPr="00076D87">
        <w:rPr>
          <w:i/>
          <w:iCs/>
          <w:sz w:val="22"/>
          <w:szCs w:val="22"/>
        </w:rPr>
        <w:t>Restatement (Second) of Contracts</w:t>
      </w:r>
      <w:r w:rsidRPr="00076D87">
        <w:rPr>
          <w:sz w:val="22"/>
          <w:szCs w:val="22"/>
        </w:rPr>
        <w:t xml:space="preserve"> (1981)</w:t>
      </w:r>
      <w:r w:rsidR="00B67CA7" w:rsidRPr="00076D87">
        <w:rPr>
          <w:sz w:val="22"/>
          <w:szCs w:val="22"/>
        </w:rPr>
        <w:t>.</w:t>
      </w:r>
      <w:r w:rsidRPr="00076D87">
        <w:rPr>
          <w:sz w:val="22"/>
          <w:szCs w:val="22"/>
        </w:rPr>
        <w:t xml:space="preserve"> American Law Institute</w:t>
      </w:r>
    </w:p>
    <w:p w14:paraId="74FFE770" w14:textId="7FCE18E4" w:rsidR="00005589" w:rsidRPr="00076D87" w:rsidRDefault="00005589" w:rsidP="007E42E3">
      <w:pPr>
        <w:ind w:left="432" w:hanging="432"/>
        <w:rPr>
          <w:sz w:val="22"/>
          <w:szCs w:val="22"/>
        </w:rPr>
      </w:pPr>
      <w:r w:rsidRPr="00076D87">
        <w:rPr>
          <w:i/>
          <w:iCs/>
          <w:sz w:val="22"/>
          <w:szCs w:val="22"/>
        </w:rPr>
        <w:t>Restatement of Contracts</w:t>
      </w:r>
      <w:r w:rsidRPr="00076D87">
        <w:rPr>
          <w:sz w:val="22"/>
          <w:szCs w:val="22"/>
        </w:rPr>
        <w:t xml:space="preserve"> (1932). American Law Institute</w:t>
      </w:r>
    </w:p>
    <w:p w14:paraId="3091B30F" w14:textId="31CB945C" w:rsidR="001B2D60" w:rsidRPr="00076D87" w:rsidRDefault="001B2D60" w:rsidP="007E42E3">
      <w:pPr>
        <w:ind w:left="432" w:hanging="432"/>
        <w:rPr>
          <w:sz w:val="22"/>
          <w:szCs w:val="22"/>
        </w:rPr>
      </w:pPr>
      <w:r w:rsidRPr="00076D87">
        <w:rPr>
          <w:sz w:val="22"/>
          <w:szCs w:val="22"/>
        </w:rPr>
        <w:t>Rothbard, M</w:t>
      </w:r>
      <w:r w:rsidR="00631120" w:rsidRPr="00076D87">
        <w:rPr>
          <w:sz w:val="22"/>
          <w:szCs w:val="22"/>
        </w:rPr>
        <w:t>.</w:t>
      </w:r>
      <w:r w:rsidRPr="00076D87">
        <w:rPr>
          <w:sz w:val="22"/>
          <w:szCs w:val="22"/>
        </w:rPr>
        <w:t xml:space="preserve"> </w:t>
      </w:r>
      <w:r w:rsidR="00CC554E" w:rsidRPr="00076D87">
        <w:rPr>
          <w:sz w:val="22"/>
          <w:szCs w:val="22"/>
        </w:rPr>
        <w:t>(1998</w:t>
      </w:r>
      <w:r w:rsidR="00F73E39">
        <w:rPr>
          <w:sz w:val="22"/>
          <w:szCs w:val="22"/>
        </w:rPr>
        <w:t>a</w:t>
      </w:r>
      <w:r w:rsidR="005878D4" w:rsidRPr="00076D87">
        <w:rPr>
          <w:sz w:val="22"/>
          <w:szCs w:val="22"/>
        </w:rPr>
        <w:t xml:space="preserve">) </w:t>
      </w:r>
      <w:r w:rsidR="00CC554E" w:rsidRPr="00076D87">
        <w:rPr>
          <w:sz w:val="22"/>
          <w:szCs w:val="22"/>
        </w:rPr>
        <w:t>“Property Rights and the Theory of Contracts</w:t>
      </w:r>
      <w:r w:rsidR="00F73E39">
        <w:rPr>
          <w:sz w:val="22"/>
          <w:szCs w:val="22"/>
          <w:u w:val="single"/>
        </w:rPr>
        <w:t>.</w:t>
      </w:r>
      <w:r w:rsidR="00CC554E" w:rsidRPr="00076D87">
        <w:rPr>
          <w:sz w:val="22"/>
          <w:szCs w:val="22"/>
        </w:rPr>
        <w:t>”</w:t>
      </w:r>
      <w:r w:rsidR="00F73E39">
        <w:rPr>
          <w:sz w:val="22"/>
          <w:szCs w:val="22"/>
        </w:rPr>
        <w:t xml:space="preserve"> </w:t>
      </w:r>
      <w:r w:rsidR="00F73E39">
        <w:rPr>
          <w:sz w:val="22"/>
          <w:szCs w:val="22"/>
        </w:rPr>
        <w:t xml:space="preserve">In </w:t>
      </w:r>
      <w:r w:rsidR="00F73E39" w:rsidRPr="00076D87">
        <w:rPr>
          <w:i/>
          <w:iCs/>
          <w:sz w:val="22"/>
          <w:szCs w:val="22"/>
        </w:rPr>
        <w:t>The Ethics of Liberty</w:t>
      </w:r>
      <w:r w:rsidR="00F73E39" w:rsidRPr="00076D87">
        <w:rPr>
          <w:sz w:val="22"/>
          <w:szCs w:val="22"/>
        </w:rPr>
        <w:t xml:space="preserve">. New York: New York University Press; </w:t>
      </w:r>
      <w:bookmarkStart w:id="118" w:name="OLE_LINK536"/>
      <w:bookmarkStart w:id="119" w:name="OLE_LINK537"/>
      <w:bookmarkStart w:id="120" w:name="OLE_LINK538"/>
      <w:r w:rsidR="00F73E39" w:rsidRPr="00076D87">
        <w:rPr>
          <w:sz w:val="22"/>
          <w:szCs w:val="22"/>
        </w:rPr>
        <w:fldChar w:fldCharType="begin"/>
      </w:r>
      <w:r w:rsidR="00F73E39" w:rsidRPr="00076D87">
        <w:rPr>
          <w:sz w:val="22"/>
          <w:szCs w:val="22"/>
        </w:rPr>
        <w:instrText>HYPERLINK "https://perma.cc/G67P-L5AB"</w:instrText>
      </w:r>
      <w:r w:rsidR="00F73E39" w:rsidRPr="00076D87">
        <w:rPr>
          <w:sz w:val="22"/>
          <w:szCs w:val="22"/>
        </w:rPr>
      </w:r>
      <w:r w:rsidR="00F73E39" w:rsidRPr="00076D87">
        <w:rPr>
          <w:sz w:val="22"/>
          <w:szCs w:val="22"/>
        </w:rPr>
        <w:fldChar w:fldCharType="separate"/>
      </w:r>
      <w:r w:rsidR="00F73E39" w:rsidRPr="00076D87">
        <w:rPr>
          <w:rStyle w:val="Hyperlink"/>
          <w:sz w:val="22"/>
          <w:szCs w:val="22"/>
        </w:rPr>
        <w:t>https://perma.cc/G67P-L5AB</w:t>
      </w:r>
      <w:r w:rsidR="00F73E39" w:rsidRPr="00076D87">
        <w:rPr>
          <w:sz w:val="22"/>
          <w:szCs w:val="22"/>
        </w:rPr>
        <w:fldChar w:fldCharType="end"/>
      </w:r>
      <w:bookmarkEnd w:id="118"/>
      <w:bookmarkEnd w:id="119"/>
      <w:bookmarkEnd w:id="120"/>
      <w:r w:rsidR="00F73E39">
        <w:rPr>
          <w:sz w:val="22"/>
          <w:szCs w:val="22"/>
        </w:rPr>
        <w:t xml:space="preserve">; </w:t>
      </w:r>
      <w:hyperlink r:id="rId51" w:history="1">
        <w:r w:rsidR="00CC554E" w:rsidRPr="00076D87">
          <w:rPr>
            <w:rStyle w:val="Hyperlink"/>
            <w:sz w:val="22"/>
            <w:szCs w:val="22"/>
          </w:rPr>
          <w:t>https://mises.org/library/property-rights-and-theory-contracts</w:t>
        </w:r>
      </w:hyperlink>
      <w:r w:rsidRPr="00076D87">
        <w:rPr>
          <w:sz w:val="22"/>
          <w:szCs w:val="22"/>
        </w:rPr>
        <w:t xml:space="preserve"> </w:t>
      </w:r>
    </w:p>
    <w:p w14:paraId="44DDA10D" w14:textId="025BC086" w:rsidR="00321817" w:rsidRPr="00076D87" w:rsidRDefault="005878D4" w:rsidP="007E42E3">
      <w:pPr>
        <w:ind w:left="432" w:hanging="432"/>
        <w:rPr>
          <w:sz w:val="22"/>
          <w:szCs w:val="22"/>
        </w:rPr>
      </w:pPr>
      <w:r w:rsidRPr="00076D87">
        <w:rPr>
          <w:sz w:val="22"/>
          <w:szCs w:val="22"/>
        </w:rPr>
        <w:t>—— (</w:t>
      </w:r>
      <w:bookmarkStart w:id="121" w:name="OLE_LINK532"/>
      <w:bookmarkStart w:id="122" w:name="OLE_LINK533"/>
      <w:r w:rsidRPr="00076D87">
        <w:rPr>
          <w:sz w:val="22"/>
          <w:szCs w:val="22"/>
        </w:rPr>
        <w:t>1998</w:t>
      </w:r>
      <w:bookmarkEnd w:id="121"/>
      <w:bookmarkEnd w:id="122"/>
      <w:r w:rsidR="00F73E39">
        <w:rPr>
          <w:sz w:val="22"/>
          <w:szCs w:val="22"/>
        </w:rPr>
        <w:t>b</w:t>
      </w:r>
      <w:r w:rsidRPr="00076D87">
        <w:rPr>
          <w:sz w:val="22"/>
          <w:szCs w:val="22"/>
        </w:rPr>
        <w:t>) “Punishment and Proportionality</w:t>
      </w:r>
      <w:r w:rsidR="00F73E39">
        <w:rPr>
          <w:sz w:val="22"/>
          <w:szCs w:val="22"/>
          <w:u w:val="single"/>
        </w:rPr>
        <w:t>.</w:t>
      </w:r>
      <w:r w:rsidRPr="00076D87">
        <w:rPr>
          <w:sz w:val="22"/>
          <w:szCs w:val="22"/>
        </w:rPr>
        <w:t xml:space="preserve">” </w:t>
      </w:r>
      <w:r w:rsidR="00F73E39">
        <w:rPr>
          <w:sz w:val="22"/>
          <w:szCs w:val="22"/>
        </w:rPr>
        <w:t xml:space="preserve">In </w:t>
      </w:r>
      <w:r w:rsidR="00F73E39" w:rsidRPr="00076D87">
        <w:rPr>
          <w:i/>
          <w:iCs/>
          <w:sz w:val="22"/>
          <w:szCs w:val="22"/>
        </w:rPr>
        <w:t>The Ethics of Liberty</w:t>
      </w:r>
      <w:r w:rsidR="00F73E39" w:rsidRPr="00076D87">
        <w:rPr>
          <w:sz w:val="22"/>
          <w:szCs w:val="22"/>
        </w:rPr>
        <w:t xml:space="preserve">. New York: New York University Press; </w:t>
      </w:r>
      <w:hyperlink r:id="rId52" w:history="1">
        <w:r w:rsidR="00F73E39" w:rsidRPr="00076D87">
          <w:rPr>
            <w:rStyle w:val="Hyperlink"/>
            <w:sz w:val="22"/>
            <w:szCs w:val="22"/>
          </w:rPr>
          <w:t>https://perma.cc/G67P-L5AB</w:t>
        </w:r>
      </w:hyperlink>
      <w:r w:rsidR="00F73E39">
        <w:rPr>
          <w:sz w:val="22"/>
          <w:szCs w:val="22"/>
        </w:rPr>
        <w:t>;</w:t>
      </w:r>
      <w:r w:rsidRPr="00076D87">
        <w:rPr>
          <w:sz w:val="22"/>
          <w:szCs w:val="22"/>
        </w:rPr>
        <w:t xml:space="preserve"> </w:t>
      </w:r>
      <w:r w:rsidRPr="003530F9">
        <w:rPr>
          <w:sz w:val="22"/>
          <w:szCs w:val="22"/>
        </w:rPr>
        <w:fldChar w:fldCharType="begin"/>
      </w:r>
      <w:r w:rsidRPr="003530F9">
        <w:rPr>
          <w:sz w:val="22"/>
          <w:szCs w:val="22"/>
        </w:rPr>
        <w:instrText>HYPERLINK "https://mises.org/library/punishment-and-proportionality-0"</w:instrText>
      </w:r>
      <w:r w:rsidRPr="008445AC">
        <w:rPr>
          <w:sz w:val="22"/>
          <w:szCs w:val="22"/>
        </w:rPr>
      </w:r>
      <w:r w:rsidRPr="003530F9">
        <w:rPr>
          <w:sz w:val="22"/>
          <w:szCs w:val="22"/>
        </w:rPr>
        <w:fldChar w:fldCharType="separate"/>
      </w:r>
      <w:r w:rsidRPr="00076D87">
        <w:rPr>
          <w:rStyle w:val="Hyperlink"/>
          <w:sz w:val="22"/>
          <w:szCs w:val="22"/>
        </w:rPr>
        <w:t>https://mises.org/library/punishment-and-proportionality-0</w:t>
      </w:r>
      <w:r w:rsidRPr="003530F9">
        <w:rPr>
          <w:sz w:val="22"/>
          <w:szCs w:val="22"/>
        </w:rPr>
        <w:fldChar w:fldCharType="end"/>
      </w:r>
      <w:r w:rsidRPr="00076D87">
        <w:rPr>
          <w:sz w:val="22"/>
          <w:szCs w:val="22"/>
        </w:rPr>
        <w:t xml:space="preserve"> </w:t>
      </w:r>
    </w:p>
    <w:p w14:paraId="0F186344" w14:textId="4257EE77" w:rsidR="00B07179" w:rsidRPr="00076D87" w:rsidRDefault="00B07179" w:rsidP="007E42E3">
      <w:pPr>
        <w:keepNext/>
        <w:rPr>
          <w:sz w:val="22"/>
          <w:szCs w:val="22"/>
        </w:rPr>
      </w:pPr>
      <w:r w:rsidRPr="00076D87">
        <w:rPr>
          <w:sz w:val="22"/>
          <w:szCs w:val="22"/>
        </w:rPr>
        <w:t>—— (1998</w:t>
      </w:r>
      <w:r w:rsidR="00F73E39">
        <w:rPr>
          <w:sz w:val="22"/>
          <w:szCs w:val="22"/>
        </w:rPr>
        <w:t>c</w:t>
      </w:r>
      <w:r w:rsidRPr="00076D87">
        <w:rPr>
          <w:sz w:val="22"/>
          <w:szCs w:val="22"/>
        </w:rPr>
        <w:t>) “Self-Defense</w:t>
      </w:r>
      <w:r w:rsidR="00F73E39">
        <w:rPr>
          <w:sz w:val="22"/>
          <w:szCs w:val="22"/>
        </w:rPr>
        <w:t>.</w:t>
      </w:r>
      <w:r w:rsidRPr="00076D87">
        <w:rPr>
          <w:sz w:val="22"/>
          <w:szCs w:val="22"/>
        </w:rPr>
        <w:t xml:space="preserve">” </w:t>
      </w:r>
      <w:r w:rsidR="00F73E39">
        <w:rPr>
          <w:sz w:val="22"/>
          <w:szCs w:val="22"/>
        </w:rPr>
        <w:t xml:space="preserve">In </w:t>
      </w:r>
      <w:r w:rsidR="00F73E39" w:rsidRPr="00076D87">
        <w:rPr>
          <w:i/>
          <w:iCs/>
          <w:sz w:val="22"/>
          <w:szCs w:val="22"/>
        </w:rPr>
        <w:t>The Ethics of Liberty</w:t>
      </w:r>
      <w:r w:rsidR="00F73E39" w:rsidRPr="00076D87">
        <w:rPr>
          <w:sz w:val="22"/>
          <w:szCs w:val="22"/>
        </w:rPr>
        <w:t xml:space="preserve">. New York: New York University Press; </w:t>
      </w:r>
      <w:hyperlink r:id="rId53" w:history="1">
        <w:r w:rsidR="00F73E39" w:rsidRPr="00076D87">
          <w:rPr>
            <w:rStyle w:val="Hyperlink"/>
            <w:sz w:val="22"/>
            <w:szCs w:val="22"/>
          </w:rPr>
          <w:t>https://perma.cc/G67P-L5AB</w:t>
        </w:r>
      </w:hyperlink>
      <w:r w:rsidRPr="00076D87">
        <w:rPr>
          <w:sz w:val="22"/>
          <w:szCs w:val="22"/>
        </w:rPr>
        <w:t xml:space="preserve">; </w:t>
      </w:r>
      <w:hyperlink r:id="rId54" w:history="1">
        <w:r w:rsidRPr="00076D87">
          <w:rPr>
            <w:rStyle w:val="Hyperlink"/>
            <w:sz w:val="22"/>
            <w:szCs w:val="22"/>
          </w:rPr>
          <w:t>https://mises.org/library/right-self-defense</w:t>
        </w:r>
      </w:hyperlink>
      <w:r w:rsidRPr="00076D87">
        <w:rPr>
          <w:sz w:val="22"/>
          <w:szCs w:val="22"/>
        </w:rPr>
        <w:t xml:space="preserve"> </w:t>
      </w:r>
    </w:p>
    <w:p w14:paraId="7E369A77" w14:textId="2304436C" w:rsidR="007B714F" w:rsidRPr="00076D87" w:rsidRDefault="007B714F" w:rsidP="007E42E3">
      <w:pPr>
        <w:keepNext/>
        <w:rPr>
          <w:sz w:val="22"/>
          <w:szCs w:val="22"/>
        </w:rPr>
      </w:pPr>
      <w:r w:rsidRPr="00076D87">
        <w:rPr>
          <w:sz w:val="22"/>
          <w:szCs w:val="22"/>
        </w:rPr>
        <w:t>—— (1998</w:t>
      </w:r>
      <w:r w:rsidR="00F73E39">
        <w:rPr>
          <w:sz w:val="22"/>
          <w:szCs w:val="22"/>
        </w:rPr>
        <w:t>d</w:t>
      </w:r>
      <w:r w:rsidRPr="00076D87">
        <w:rPr>
          <w:sz w:val="22"/>
          <w:szCs w:val="22"/>
        </w:rPr>
        <w:t>) “A Crusoe Social Philosophy</w:t>
      </w:r>
      <w:r w:rsidR="00F73E39">
        <w:rPr>
          <w:sz w:val="22"/>
          <w:szCs w:val="22"/>
        </w:rPr>
        <w:t>.</w:t>
      </w:r>
      <w:r w:rsidRPr="00076D87">
        <w:rPr>
          <w:sz w:val="22"/>
          <w:szCs w:val="22"/>
        </w:rPr>
        <w:t xml:space="preserve">” </w:t>
      </w:r>
      <w:r w:rsidR="00F73E39">
        <w:rPr>
          <w:sz w:val="22"/>
          <w:szCs w:val="22"/>
        </w:rPr>
        <w:t xml:space="preserve">In </w:t>
      </w:r>
      <w:r w:rsidR="00F73E39" w:rsidRPr="00076D87">
        <w:rPr>
          <w:i/>
          <w:iCs/>
          <w:sz w:val="22"/>
          <w:szCs w:val="22"/>
        </w:rPr>
        <w:t>The Ethics of Liberty</w:t>
      </w:r>
      <w:r w:rsidR="00F73E39" w:rsidRPr="00076D87">
        <w:rPr>
          <w:sz w:val="22"/>
          <w:szCs w:val="22"/>
        </w:rPr>
        <w:t xml:space="preserve">. New York: New York University Press; </w:t>
      </w:r>
      <w:hyperlink r:id="rId55" w:history="1">
        <w:r w:rsidR="00F73E39" w:rsidRPr="00076D87">
          <w:rPr>
            <w:rStyle w:val="Hyperlink"/>
            <w:sz w:val="22"/>
            <w:szCs w:val="22"/>
          </w:rPr>
          <w:t>https://perma.cc/G67P-L5AB</w:t>
        </w:r>
      </w:hyperlink>
      <w:r w:rsidRPr="00076D87">
        <w:rPr>
          <w:sz w:val="22"/>
          <w:szCs w:val="22"/>
        </w:rPr>
        <w:t xml:space="preserve">; </w:t>
      </w:r>
      <w:hyperlink r:id="rId56" w:history="1">
        <w:r w:rsidRPr="00076D87">
          <w:rPr>
            <w:rStyle w:val="Hyperlink"/>
            <w:sz w:val="22"/>
            <w:szCs w:val="22"/>
          </w:rPr>
          <w:t>https://mises.org/mises-daily/crusoe-social-philosophy</w:t>
        </w:r>
      </w:hyperlink>
      <w:r w:rsidRPr="00076D87">
        <w:rPr>
          <w:sz w:val="22"/>
          <w:szCs w:val="22"/>
        </w:rPr>
        <w:t xml:space="preserve"> </w:t>
      </w:r>
    </w:p>
    <w:p w14:paraId="35050E1E" w14:textId="34B10FE3" w:rsidR="006C257A" w:rsidRPr="00076D87" w:rsidRDefault="006C257A" w:rsidP="007E42E3">
      <w:pPr>
        <w:keepNext/>
        <w:rPr>
          <w:sz w:val="22"/>
          <w:szCs w:val="22"/>
        </w:rPr>
      </w:pPr>
      <w:r w:rsidRPr="00076D87">
        <w:rPr>
          <w:sz w:val="22"/>
          <w:szCs w:val="22"/>
        </w:rPr>
        <w:t xml:space="preserve">—— (2008) </w:t>
      </w:r>
      <w:r w:rsidRPr="00076D87">
        <w:rPr>
          <w:i/>
          <w:iCs/>
          <w:sz w:val="22"/>
          <w:szCs w:val="22"/>
        </w:rPr>
        <w:t>The Mystery of Banking</w:t>
      </w:r>
      <w:r w:rsidR="00D41A17" w:rsidRPr="00076D87">
        <w:rPr>
          <w:sz w:val="22"/>
          <w:szCs w:val="22"/>
        </w:rPr>
        <w:t>, 2</w:t>
      </w:r>
      <w:r w:rsidR="00D41A17" w:rsidRPr="00076D87">
        <w:rPr>
          <w:sz w:val="22"/>
          <w:szCs w:val="22"/>
          <w:vertAlign w:val="superscript"/>
        </w:rPr>
        <w:t>nd</w:t>
      </w:r>
      <w:r w:rsidR="00D41A17" w:rsidRPr="00076D87">
        <w:rPr>
          <w:sz w:val="22"/>
          <w:szCs w:val="22"/>
        </w:rPr>
        <w:t xml:space="preserve"> ed.</w:t>
      </w:r>
      <w:r w:rsidRPr="00076D87">
        <w:rPr>
          <w:sz w:val="22"/>
          <w:szCs w:val="22"/>
        </w:rPr>
        <w:t xml:space="preserve"> Auburn, Ala.: Mises Institute; </w:t>
      </w:r>
      <w:hyperlink r:id="rId57" w:history="1">
        <w:r w:rsidRPr="00076D87">
          <w:rPr>
            <w:rStyle w:val="Hyperlink"/>
            <w:sz w:val="22"/>
            <w:szCs w:val="22"/>
          </w:rPr>
          <w:t>https://mises.org/library/book/mystery-banking</w:t>
        </w:r>
      </w:hyperlink>
    </w:p>
    <w:p w14:paraId="7B8AF627" w14:textId="2000C56D" w:rsidR="00631120" w:rsidRPr="00076D87" w:rsidRDefault="00631120" w:rsidP="007E42E3">
      <w:pPr>
        <w:ind w:left="432" w:hanging="432"/>
        <w:rPr>
          <w:sz w:val="22"/>
          <w:szCs w:val="22"/>
        </w:rPr>
      </w:pPr>
      <w:r w:rsidRPr="00076D87">
        <w:rPr>
          <w:sz w:val="22"/>
          <w:szCs w:val="22"/>
        </w:rPr>
        <w:t xml:space="preserve">—— (2009) </w:t>
      </w:r>
      <w:r w:rsidRPr="00076D87">
        <w:rPr>
          <w:i/>
          <w:iCs/>
          <w:sz w:val="22"/>
          <w:szCs w:val="22"/>
        </w:rPr>
        <w:t>Man, Economy, and State, with Power and Market</w:t>
      </w:r>
      <w:r w:rsidRPr="00076D87">
        <w:rPr>
          <w:sz w:val="22"/>
          <w:szCs w:val="22"/>
        </w:rPr>
        <w:t xml:space="preserve">, Scholars ed., 2d ed. Auburn, Ala.: Mises Institute; </w:t>
      </w:r>
      <w:hyperlink r:id="rId58" w:history="1">
        <w:r w:rsidRPr="00076D87">
          <w:rPr>
            <w:rStyle w:val="Hyperlink"/>
            <w:sz w:val="22"/>
            <w:szCs w:val="22"/>
          </w:rPr>
          <w:t>https://mises.org/library/man-economy-and-state-power-and-market</w:t>
        </w:r>
      </w:hyperlink>
    </w:p>
    <w:p w14:paraId="2CFFFC58" w14:textId="58A2BB0A" w:rsidR="003A46DD" w:rsidRPr="00076D87" w:rsidRDefault="003A46DD" w:rsidP="007E42E3">
      <w:pPr>
        <w:ind w:left="432" w:hanging="432"/>
        <w:rPr>
          <w:sz w:val="22"/>
          <w:szCs w:val="22"/>
        </w:rPr>
      </w:pPr>
      <w:r w:rsidRPr="00076D87">
        <w:rPr>
          <w:sz w:val="22"/>
          <w:szCs w:val="22"/>
        </w:rPr>
        <w:t xml:space="preserve">—— (2011) “Justice and Property Rights,” in </w:t>
      </w:r>
      <w:r w:rsidRPr="00076D87">
        <w:rPr>
          <w:i/>
          <w:iCs/>
          <w:sz w:val="22"/>
          <w:szCs w:val="22"/>
        </w:rPr>
        <w:t>Economic Controversies</w:t>
      </w:r>
      <w:r w:rsidR="00285345" w:rsidRPr="00076D87">
        <w:rPr>
          <w:sz w:val="22"/>
          <w:szCs w:val="22"/>
        </w:rPr>
        <w:t>.</w:t>
      </w:r>
      <w:r w:rsidRPr="00076D87">
        <w:rPr>
          <w:sz w:val="22"/>
          <w:szCs w:val="22"/>
        </w:rPr>
        <w:t xml:space="preserve"> Auburn, Ala.: Mises Institute</w:t>
      </w:r>
      <w:r w:rsidR="00285345" w:rsidRPr="00076D87">
        <w:rPr>
          <w:sz w:val="22"/>
          <w:szCs w:val="22"/>
        </w:rPr>
        <w:t>;</w:t>
      </w:r>
      <w:r w:rsidR="0017433C" w:rsidRPr="00076D87">
        <w:rPr>
          <w:sz w:val="22"/>
          <w:szCs w:val="22"/>
        </w:rPr>
        <w:t xml:space="preserve"> </w:t>
      </w:r>
      <w:r w:rsidRPr="00076D87">
        <w:rPr>
          <w:sz w:val="22"/>
          <w:szCs w:val="22"/>
        </w:rPr>
        <w:t xml:space="preserve"> </w:t>
      </w:r>
      <w:hyperlink r:id="rId59" w:history="1">
        <w:r w:rsidRPr="00076D87">
          <w:rPr>
            <w:rStyle w:val="Hyperlink"/>
            <w:sz w:val="22"/>
            <w:szCs w:val="22"/>
          </w:rPr>
          <w:t>https://mises.org/library/economic-controversies</w:t>
        </w:r>
      </w:hyperlink>
      <w:r w:rsidRPr="00076D87">
        <w:rPr>
          <w:sz w:val="22"/>
          <w:szCs w:val="22"/>
        </w:rPr>
        <w:t xml:space="preserve"> </w:t>
      </w:r>
    </w:p>
    <w:p w14:paraId="5E1DF74C" w14:textId="1F5BB42E" w:rsidR="008F6A7F" w:rsidRPr="00076D87" w:rsidRDefault="008F6A7F" w:rsidP="007E42E3">
      <w:pPr>
        <w:ind w:left="432" w:hanging="432"/>
        <w:rPr>
          <w:sz w:val="22"/>
          <w:szCs w:val="22"/>
        </w:rPr>
      </w:pPr>
      <w:r w:rsidRPr="00076D87">
        <w:rPr>
          <w:sz w:val="22"/>
          <w:szCs w:val="22"/>
        </w:rPr>
        <w:t xml:space="preserve">Tannenbaum, D. (1954) “Enforcement of Personal Service Contracts in the Entertainment Industry.” </w:t>
      </w:r>
      <w:r w:rsidRPr="00076D87">
        <w:rPr>
          <w:i/>
          <w:iCs/>
          <w:sz w:val="22"/>
          <w:szCs w:val="22"/>
        </w:rPr>
        <w:t>Cal. L. Rev</w:t>
      </w:r>
      <w:r w:rsidRPr="00076D87">
        <w:rPr>
          <w:sz w:val="22"/>
          <w:szCs w:val="22"/>
        </w:rPr>
        <w:t xml:space="preserve">. 42, no. 1 (Spring): </w:t>
      </w:r>
      <w:r w:rsidR="005358AB" w:rsidRPr="00076D87">
        <w:rPr>
          <w:sz w:val="22"/>
          <w:szCs w:val="22"/>
        </w:rPr>
        <w:t xml:space="preserve">pp. </w:t>
      </w:r>
      <w:r w:rsidRPr="00076D87">
        <w:rPr>
          <w:sz w:val="22"/>
          <w:szCs w:val="22"/>
        </w:rPr>
        <w:t>18–27</w:t>
      </w:r>
    </w:p>
    <w:p w14:paraId="397A5D70" w14:textId="7CFD84B8" w:rsidR="00B240C6" w:rsidRPr="00076D87" w:rsidRDefault="00B240C6" w:rsidP="007E42E3">
      <w:pPr>
        <w:ind w:left="432" w:hanging="432"/>
        <w:rPr>
          <w:sz w:val="22"/>
          <w:szCs w:val="22"/>
        </w:rPr>
      </w:pPr>
      <w:r w:rsidRPr="00076D87">
        <w:rPr>
          <w:sz w:val="22"/>
          <w:szCs w:val="22"/>
        </w:rPr>
        <w:t>Yiannopoulos, A. (1991) “Possession</w:t>
      </w:r>
      <w:r w:rsidR="00AF71BB" w:rsidRPr="00076D87">
        <w:rPr>
          <w:sz w:val="22"/>
          <w:szCs w:val="22"/>
        </w:rPr>
        <w:t>.</w:t>
      </w:r>
      <w:r w:rsidRPr="00076D87">
        <w:rPr>
          <w:sz w:val="22"/>
          <w:szCs w:val="22"/>
        </w:rPr>
        <w:t xml:space="preserve">” </w:t>
      </w:r>
      <w:r w:rsidRPr="00076D87">
        <w:rPr>
          <w:i/>
          <w:iCs/>
          <w:sz w:val="22"/>
          <w:szCs w:val="22"/>
        </w:rPr>
        <w:t>La. L. Rev</w:t>
      </w:r>
      <w:r w:rsidRPr="00076D87">
        <w:rPr>
          <w:sz w:val="22"/>
          <w:szCs w:val="22"/>
        </w:rPr>
        <w:t xml:space="preserve">. 51: 523–60; </w:t>
      </w:r>
      <w:hyperlink r:id="rId60" w:history="1">
        <w:r w:rsidRPr="00076D87">
          <w:rPr>
            <w:rStyle w:val="Hyperlink"/>
            <w:sz w:val="22"/>
            <w:szCs w:val="22"/>
          </w:rPr>
          <w:t>https://digitalcommons.law.lsu.edu/lalrev/vol51/iss3/8/</w:t>
        </w:r>
      </w:hyperlink>
      <w:r w:rsidRPr="00076D87">
        <w:rPr>
          <w:sz w:val="22"/>
          <w:szCs w:val="22"/>
        </w:rPr>
        <w:t xml:space="preserve"> </w:t>
      </w:r>
      <w:bookmarkEnd w:id="2"/>
      <w:bookmarkEnd w:id="3"/>
      <w:bookmarkEnd w:id="6"/>
      <w:bookmarkEnd w:id="7"/>
      <w:bookmarkEnd w:id="8"/>
    </w:p>
    <w:p w14:paraId="4587CE7A" w14:textId="141777FE" w:rsidR="00BB6F57" w:rsidRPr="00076D87" w:rsidRDefault="00BB6F57" w:rsidP="007E42E3">
      <w:pPr>
        <w:ind w:left="432" w:hanging="432"/>
        <w:rPr>
          <w:sz w:val="22"/>
          <w:szCs w:val="22"/>
        </w:rPr>
      </w:pPr>
      <w:r w:rsidRPr="00076D87">
        <w:rPr>
          <w:sz w:val="22"/>
          <w:szCs w:val="22"/>
        </w:rPr>
        <w:t xml:space="preserve">—— (2001) </w:t>
      </w:r>
      <w:r w:rsidRPr="003530F9">
        <w:rPr>
          <w:i/>
          <w:iCs/>
          <w:sz w:val="22"/>
          <w:szCs w:val="22"/>
        </w:rPr>
        <w:t>Louisiana Civil Law Treatise, Property</w:t>
      </w:r>
      <w:r w:rsidRPr="00076D87">
        <w:rPr>
          <w:sz w:val="22"/>
          <w:szCs w:val="22"/>
        </w:rPr>
        <w:t>. West Group, 4th ed.</w:t>
      </w:r>
    </w:p>
    <w:sectPr w:rsidR="00BB6F57" w:rsidRPr="00076D87" w:rsidSect="002A3477">
      <w:footnotePr>
        <w:numRestart w:val="eachSect"/>
      </w:footnotePr>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BAAD5E" w14:textId="77777777" w:rsidR="008B3390" w:rsidRDefault="008B3390" w:rsidP="00703705">
      <w:r>
        <w:separator/>
      </w:r>
    </w:p>
  </w:endnote>
  <w:endnote w:type="continuationSeparator" w:id="0">
    <w:p w14:paraId="703F0966" w14:textId="77777777" w:rsidR="008B3390" w:rsidRDefault="008B3390" w:rsidP="00703705">
      <w:r>
        <w:continuationSeparator/>
      </w:r>
    </w:p>
  </w:endnote>
  <w:endnote w:type="continuationNotice" w:id="1">
    <w:p w14:paraId="0850B76C" w14:textId="77777777" w:rsidR="008B3390" w:rsidRDefault="008B33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dobe Caslon Pro">
    <w:panose1 w:val="020B0604020202020204"/>
    <w:charset w:val="4D"/>
    <w:family w:val="roman"/>
    <w:notTrueType/>
    <w:pitch w:val="variable"/>
    <w:sig w:usb0="00000007" w:usb1="00000001"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erkeleyMediumOldstyle-ITC">
    <w:altName w:val="Times New Roman"/>
    <w:panose1 w:val="020B0604020202020204"/>
    <w:charset w:val="00"/>
    <w:family w:val="roman"/>
    <w:pitch w:val="variable"/>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ヒラギノ角ゴ Pro W3">
    <w:altName w:val="Yu Gothic"/>
    <w:panose1 w:val="020B0604020202020204"/>
    <w:charset w:val="80"/>
    <w:family w:val="swiss"/>
    <w:pitch w:val="variable"/>
    <w:sig w:usb0="E00002FF" w:usb1="7AC7FFFF" w:usb2="00000012" w:usb3="00000000" w:csb0="0002000D" w:csb1="00000000"/>
  </w:font>
  <w:font w:name="CG Times">
    <w:altName w:val="Times New Roman"/>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4703714"/>
      <w:docPartObj>
        <w:docPartGallery w:val="Page Numbers (Bottom of Page)"/>
        <w:docPartUnique/>
      </w:docPartObj>
    </w:sdtPr>
    <w:sdtContent>
      <w:p w14:paraId="175FBB9F" w14:textId="6EC35DA9" w:rsidR="00C61C93" w:rsidRDefault="00C61C93" w:rsidP="00C61C9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89ED42" w14:textId="77777777" w:rsidR="00C61C93" w:rsidRDefault="00C61C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5893093"/>
      <w:docPartObj>
        <w:docPartGallery w:val="Page Numbers (Bottom of Page)"/>
        <w:docPartUnique/>
      </w:docPartObj>
    </w:sdtPr>
    <w:sdtContent>
      <w:p w14:paraId="4DA968AB" w14:textId="131F4447" w:rsidR="00C61C93" w:rsidRDefault="00C61C93" w:rsidP="00C61C9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27C47A" w14:textId="77777777" w:rsidR="00C61C93" w:rsidRDefault="00C61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DA8114" w14:textId="77777777" w:rsidR="008B3390" w:rsidRDefault="008B3390" w:rsidP="00703705">
      <w:r>
        <w:separator/>
      </w:r>
    </w:p>
  </w:footnote>
  <w:footnote w:type="continuationSeparator" w:id="0">
    <w:p w14:paraId="6AD421EE" w14:textId="77777777" w:rsidR="008B3390" w:rsidRDefault="008B3390" w:rsidP="00703705">
      <w:r>
        <w:continuationSeparator/>
      </w:r>
    </w:p>
  </w:footnote>
  <w:footnote w:type="continuationNotice" w:id="1">
    <w:p w14:paraId="4C4C4C5C" w14:textId="77777777" w:rsidR="008B3390" w:rsidRDefault="008B3390"/>
  </w:footnote>
  <w:footnote w:id="2">
    <w:p w14:paraId="6C73820E" w14:textId="4638D174" w:rsidR="002A3477" w:rsidRDefault="002A3477" w:rsidP="003530F9">
      <w:pPr>
        <w:pStyle w:val="FootnoteText"/>
        <w:ind w:firstLine="360"/>
        <w:jc w:val="both"/>
      </w:pPr>
      <w:r>
        <w:rPr>
          <w:rStyle w:val="FootnoteReference"/>
        </w:rPr>
        <w:footnoteRef/>
      </w:r>
      <w:r>
        <w:t xml:space="preserve"> </w:t>
      </w:r>
      <w:r w:rsidR="00624424">
        <w:t xml:space="preserve">Center for the Study of Innovative Freedom, Houston, TX, USA. </w:t>
      </w:r>
      <w:r w:rsidRPr="002A3477">
        <w:t xml:space="preserve">Stephan Kinsella is a libertarian writer and attorney in Houston, Texas. A former partner with Duane Morris, LLP, his publications </w:t>
      </w:r>
      <w:proofErr w:type="gramStart"/>
      <w:r w:rsidRPr="002A3477">
        <w:t>include</w:t>
      </w:r>
      <w:proofErr w:type="gramEnd"/>
      <w:r w:rsidRPr="002A3477">
        <w:t xml:space="preserve"> </w:t>
      </w:r>
      <w:hyperlink r:id="rId1" w:history="1">
        <w:r w:rsidRPr="002A3477">
          <w:rPr>
            <w:rStyle w:val="Hyperlink"/>
            <w:i/>
            <w:iCs/>
          </w:rPr>
          <w:t>Legal Foundations of a Free Society</w:t>
        </w:r>
      </w:hyperlink>
      <w:r w:rsidRPr="002A3477">
        <w:t xml:space="preserve"> (Houston, Texas: Papinian Press, 2023), </w:t>
      </w:r>
      <w:hyperlink r:id="rId2" w:history="1">
        <w:r w:rsidRPr="002A3477">
          <w:rPr>
            <w:rStyle w:val="Hyperlink"/>
            <w:i/>
            <w:iCs/>
          </w:rPr>
          <w:t>Against Intellectual Property</w:t>
        </w:r>
      </w:hyperlink>
      <w:r w:rsidRPr="002A3477">
        <w:t xml:space="preserve"> (Auburn, Ala.: Mises Institute, 2008), </w:t>
      </w:r>
      <w:r w:rsidRPr="002A3477">
        <w:rPr>
          <w:i/>
          <w:iCs/>
        </w:rPr>
        <w:t>International Investment, Political Risk, and Dispute Resolution: A Practitioner’s Guide</w:t>
      </w:r>
      <w:r w:rsidRPr="002A3477">
        <w:t>, 2</w:t>
      </w:r>
      <w:r w:rsidRPr="002A3477">
        <w:rPr>
          <w:vertAlign w:val="superscript"/>
        </w:rPr>
        <w:t>nd</w:t>
      </w:r>
      <w:r w:rsidRPr="002A3477">
        <w:t xml:space="preserve"> ed. (Oxford University Press, 2020), and </w:t>
      </w:r>
      <w:r w:rsidRPr="002A3477">
        <w:rPr>
          <w:i/>
          <w:iCs/>
        </w:rPr>
        <w:t>Online Contract Formation</w:t>
      </w:r>
      <w:r w:rsidRPr="002A3477">
        <w:t xml:space="preserve"> (Oxford University Press, 2004). Kinsella (2023b) contains a more detailed presentation of some of the issues discussed here, although this chapter includes additional arguments not explicitly made there. The author thanks Alessandro Fusillo, Łukasz Dominiak, and especially David Howden for helpful comments, and Greg Morin and Gael </w:t>
      </w:r>
      <w:proofErr w:type="spellStart"/>
      <w:r w:rsidRPr="002A3477">
        <w:t>Campan</w:t>
      </w:r>
      <w:proofErr w:type="spellEnd"/>
      <w:r w:rsidRPr="002A3477">
        <w:t xml:space="preserve"> for helpful corrections. I hereby grant a CC BY Attribution 4.0 International license in this work.</w:t>
      </w:r>
    </w:p>
  </w:footnote>
  <w:footnote w:id="3">
    <w:p w14:paraId="19D8A2D6" w14:textId="03F50EB9" w:rsidR="00C61C93" w:rsidRDefault="00C61C93" w:rsidP="00B11B63">
      <w:pPr>
        <w:pStyle w:val="FootnoteText"/>
        <w:ind w:firstLine="360"/>
        <w:jc w:val="both"/>
      </w:pPr>
      <w:r>
        <w:rPr>
          <w:rStyle w:val="FootnoteReference"/>
        </w:rPr>
        <w:footnoteRef/>
      </w:r>
      <w:r>
        <w:t xml:space="preserve"> Mises’s terminology is potentially </w:t>
      </w:r>
      <w:r w:rsidRPr="006D54AA">
        <w:t xml:space="preserve">confusing </w:t>
      </w:r>
      <w:r>
        <w:t xml:space="preserve">to the reader </w:t>
      </w:r>
      <w:r w:rsidRPr="006D54AA">
        <w:t xml:space="preserve">because </w:t>
      </w:r>
      <w:r>
        <w:t xml:space="preserve">he uses the </w:t>
      </w:r>
      <w:r w:rsidRPr="006D54AA">
        <w:t xml:space="preserve">word ownership </w:t>
      </w:r>
      <w:r>
        <w:t xml:space="preserve">to refer both to </w:t>
      </w:r>
      <w:r w:rsidRPr="006D54AA">
        <w:t>legal ownership</w:t>
      </w:r>
      <w:r>
        <w:t xml:space="preserve"> as well as </w:t>
      </w:r>
      <w:r w:rsidRPr="006D54AA">
        <w:t xml:space="preserve">for catallactic </w:t>
      </w:r>
      <w:r>
        <w:t xml:space="preserve">or sociological </w:t>
      </w:r>
      <w:r w:rsidRPr="006D54AA">
        <w:t xml:space="preserve">ownership, which really means possession. </w:t>
      </w:r>
      <w:r>
        <w:t xml:space="preserve">To call </w:t>
      </w:r>
      <w:r w:rsidRPr="006D54AA">
        <w:t xml:space="preserve">possession ownership </w:t>
      </w:r>
      <w:r>
        <w:t xml:space="preserve">implies that </w:t>
      </w:r>
      <w:r w:rsidRPr="006D54AA">
        <w:t>possession or control is a form of property right or ownership</w:t>
      </w:r>
      <w:r>
        <w:t>; to confuse matters further, there is in the law a legal “right to possess” that is distinct from both ownership and possession; see La. Civ. Code</w:t>
      </w:r>
      <w:r w:rsidR="00A8507C">
        <w:t xml:space="preserve"> (2024)</w:t>
      </w:r>
      <w:r>
        <w:t>, arts. 3421–3423, 3425, 3431, 3440, 3444; La. Code Civ. Proc.</w:t>
      </w:r>
      <w:r w:rsidR="00A8507C">
        <w:t xml:space="preserve"> (2024)</w:t>
      </w:r>
      <w:r>
        <w:t xml:space="preserve">, art 3660 </w:t>
      </w:r>
      <w:r w:rsidRPr="000547BA">
        <w:rPr>
          <w:i/>
          <w:iCs/>
        </w:rPr>
        <w:t>et pass</w:t>
      </w:r>
      <w:r>
        <w:t xml:space="preserve">.; </w:t>
      </w:r>
      <w:r w:rsidRPr="007B630C">
        <w:t>Yiannopoulos (1991</w:t>
      </w:r>
      <w:r>
        <w:t>, p. 524</w:t>
      </w:r>
      <w:r w:rsidRPr="007B630C">
        <w:t>)</w:t>
      </w:r>
      <w:r>
        <w:t xml:space="preserve">; </w:t>
      </w:r>
      <w:proofErr w:type="gramStart"/>
      <w:r>
        <w:t>also</w:t>
      </w:r>
      <w:proofErr w:type="gramEnd"/>
      <w:r>
        <w:t xml:space="preserve"> </w:t>
      </w:r>
      <w:proofErr w:type="spellStart"/>
      <w:r w:rsidRPr="005A464A">
        <w:t>Hausmaninger</w:t>
      </w:r>
      <w:proofErr w:type="spellEnd"/>
      <w:r w:rsidRPr="005A464A">
        <w:t xml:space="preserve"> </w:t>
      </w:r>
      <w:r>
        <w:t>an</w:t>
      </w:r>
      <w:r w:rsidR="007E42E3">
        <w:t>d</w:t>
      </w:r>
      <w:r w:rsidRPr="005A464A">
        <w:t xml:space="preserve"> Gamauf (2013</w:t>
      </w:r>
      <w:r>
        <w:t>, p. 97</w:t>
      </w:r>
      <w:r w:rsidRPr="005A464A">
        <w:t>)</w:t>
      </w:r>
      <w:r w:rsidRPr="006D54AA">
        <w:t>.</w:t>
      </w:r>
      <w:r>
        <w:t xml:space="preserve"> It would be better to reserve the term </w:t>
      </w:r>
      <w:r w:rsidRPr="004D4018">
        <w:rPr>
          <w:i/>
          <w:iCs/>
        </w:rPr>
        <w:t>ownership</w:t>
      </w:r>
      <w:r>
        <w:t xml:space="preserve"> for legal rights and to use terms like possession or command to refer to an actor’s actual control over a resource. See Yiannopoulos’s comments on the importance of precision in discussing property rights in </w:t>
      </w:r>
      <w:bookmarkStart w:id="17" w:name="OLE_LINK433"/>
      <w:bookmarkStart w:id="18" w:name="OLE_LINK434"/>
      <w:bookmarkStart w:id="19" w:name="OLE_LINK435"/>
      <w:r>
        <w:t>Kinsella (2023</w:t>
      </w:r>
      <w:r w:rsidR="00A8507C">
        <w:t>b</w:t>
      </w:r>
      <w:r>
        <w:t>, App. I)</w:t>
      </w:r>
      <w:bookmarkEnd w:id="17"/>
      <w:bookmarkEnd w:id="18"/>
      <w:bookmarkEnd w:id="19"/>
      <w:r>
        <w:t xml:space="preserve">, and in </w:t>
      </w:r>
      <w:r w:rsidRPr="007B630C">
        <w:t>Yiannopoulos (1991</w:t>
      </w:r>
      <w:r>
        <w:t>, p. 524</w:t>
      </w:r>
      <w:r w:rsidRPr="007B630C">
        <w:t>)</w:t>
      </w:r>
      <w:r>
        <w:t>.</w:t>
      </w:r>
    </w:p>
  </w:footnote>
  <w:footnote w:id="4">
    <w:p w14:paraId="6DE7BF80" w14:textId="733A329F" w:rsidR="00C61C93" w:rsidRDefault="00C61C93" w:rsidP="00B11B63">
      <w:pPr>
        <w:pStyle w:val="FootnoteText"/>
        <w:ind w:firstLine="360"/>
        <w:jc w:val="both"/>
      </w:pPr>
      <w:r>
        <w:rPr>
          <w:rStyle w:val="FootnoteReference"/>
        </w:rPr>
        <w:footnoteRef/>
      </w:r>
      <w:r>
        <w:t xml:space="preserve"> “The Roman jurists drew a distinction between possession (</w:t>
      </w:r>
      <w:proofErr w:type="spellStart"/>
      <w:r w:rsidRPr="00832A97">
        <w:rPr>
          <w:i/>
          <w:iCs/>
        </w:rPr>
        <w:t>possessio</w:t>
      </w:r>
      <w:proofErr w:type="spellEnd"/>
      <w:r>
        <w:t xml:space="preserve">), meaning </w:t>
      </w:r>
      <w:r w:rsidRPr="00832A97">
        <w:rPr>
          <w:i/>
          <w:iCs/>
        </w:rPr>
        <w:t>actual control</w:t>
      </w:r>
      <w:r>
        <w:t xml:space="preserve"> over a thing, and ownership (</w:t>
      </w:r>
      <w:r w:rsidRPr="00832A97">
        <w:rPr>
          <w:i/>
          <w:iCs/>
        </w:rPr>
        <w:t xml:space="preserve">dominium, </w:t>
      </w:r>
      <w:proofErr w:type="spellStart"/>
      <w:r w:rsidRPr="00832A97">
        <w:rPr>
          <w:i/>
          <w:iCs/>
        </w:rPr>
        <w:t>proprietas</w:t>
      </w:r>
      <w:proofErr w:type="spellEnd"/>
      <w:r>
        <w:t>) as the legal right to the thing: ‘Ownership and possession have nothing in common’ (Ulpian); ‘[Possession] is properly a factual, not a legal, issue’ (</w:t>
      </w:r>
      <w:proofErr w:type="spellStart"/>
      <w:r>
        <w:t>Ofi</w:t>
      </w:r>
      <w:proofErr w:type="spellEnd"/>
      <w:r>
        <w:t xml:space="preserve"> </w:t>
      </w:r>
      <w:proofErr w:type="spellStart"/>
      <w:r>
        <w:t>lius</w:t>
      </w:r>
      <w:proofErr w:type="spellEnd"/>
      <w:r>
        <w:t xml:space="preserve"> and Nerva the son).” </w:t>
      </w:r>
      <w:proofErr w:type="spellStart"/>
      <w:r w:rsidRPr="00832A97">
        <w:t>Hausmaninger</w:t>
      </w:r>
      <w:proofErr w:type="spellEnd"/>
      <w:r>
        <w:t xml:space="preserve"> and </w:t>
      </w:r>
      <w:r w:rsidRPr="00832A97">
        <w:t>Gamauf</w:t>
      </w:r>
      <w:r>
        <w:t xml:space="preserve"> (2012, p. 1; footnotes omitted). See also </w:t>
      </w:r>
      <w:r w:rsidRPr="00045C25">
        <w:t>du Plessis (2020</w:t>
      </w:r>
      <w:r>
        <w:t>, §6.5</w:t>
      </w:r>
      <w:r w:rsidRPr="00045C25">
        <w:t>)</w:t>
      </w:r>
      <w:r>
        <w:t xml:space="preserve">; Justinian (1985, </w:t>
      </w:r>
      <w:r w:rsidRPr="00966DB3">
        <w:t>41.2.12</w:t>
      </w:r>
      <w:r>
        <w:t>.1); Kinsella (2023</w:t>
      </w:r>
      <w:r w:rsidR="00A8507C">
        <w:t>b</w:t>
      </w:r>
      <w:r>
        <w:t xml:space="preserve">, App. I); </w:t>
      </w:r>
      <w:r w:rsidRPr="007B630C">
        <w:t>Yiannopoulos (1991</w:t>
      </w:r>
      <w:r>
        <w:t>, pp. 523–24</w:t>
      </w:r>
      <w:r w:rsidRPr="007B630C">
        <w:t>)</w:t>
      </w:r>
      <w:r>
        <w:t>.</w:t>
      </w:r>
    </w:p>
  </w:footnote>
  <w:footnote w:id="5">
    <w:p w14:paraId="2ACCB33E" w14:textId="2B780823" w:rsidR="00C61C93" w:rsidRDefault="00C61C93" w:rsidP="00686A5D">
      <w:pPr>
        <w:pStyle w:val="FootnoteText"/>
        <w:ind w:firstLine="360"/>
        <w:jc w:val="both"/>
      </w:pPr>
      <w:r>
        <w:rPr>
          <w:rStyle w:val="FootnoteReference"/>
        </w:rPr>
        <w:footnoteRef/>
      </w:r>
      <w:r>
        <w:t xml:space="preserve"> This is one reason intellectual property rights, which are </w:t>
      </w:r>
      <w:r w:rsidRPr="007C7B57">
        <w:rPr>
          <w:i/>
          <w:iCs/>
        </w:rPr>
        <w:t>in rem</w:t>
      </w:r>
      <w:r>
        <w:t xml:space="preserve"> or real property rights, cannot be generated from contractual agreements. Contracts affect only the </w:t>
      </w:r>
      <w:proofErr w:type="gramStart"/>
      <w:r>
        <w:t>parties</w:t>
      </w:r>
      <w:proofErr w:type="gramEnd"/>
      <w:r>
        <w:t xml:space="preserve"> but IP rights </w:t>
      </w:r>
      <w:proofErr w:type="gramStart"/>
      <w:r>
        <w:t>have to</w:t>
      </w:r>
      <w:proofErr w:type="gramEnd"/>
      <w:r>
        <w:t xml:space="preserve"> be </w:t>
      </w:r>
      <w:r w:rsidRPr="001036E7">
        <w:rPr>
          <w:i/>
          <w:iCs/>
        </w:rPr>
        <w:t>in rem</w:t>
      </w:r>
      <w:r>
        <w:t xml:space="preserve"> and affect those not party to the contract. IP rights are supposed to affect everyone, like other property rights. </w:t>
      </w:r>
      <w:bookmarkStart w:id="29" w:name="OLE_LINK7"/>
      <w:r>
        <w:t xml:space="preserve">See Kinsella </w:t>
      </w:r>
      <w:r w:rsidR="00941D35">
        <w:t>(</w:t>
      </w:r>
      <w:r>
        <w:t>2008, the section “Contract vs. Reserved Rights,” and 2023</w:t>
      </w:r>
      <w:r w:rsidR="00420E1F">
        <w:t>g</w:t>
      </w:r>
      <w:r>
        <w:t>, n.46</w:t>
      </w:r>
      <w:r w:rsidR="00941D35">
        <w:t>)</w:t>
      </w:r>
      <w:r>
        <w:t>.</w:t>
      </w:r>
      <w:bookmarkEnd w:id="29"/>
    </w:p>
    <w:p w14:paraId="2492BD48" w14:textId="6CBA57E2" w:rsidR="00C61C93" w:rsidRDefault="00C61C93" w:rsidP="00686A5D">
      <w:pPr>
        <w:pStyle w:val="FootnoteText"/>
        <w:ind w:firstLine="360"/>
        <w:jc w:val="both"/>
      </w:pPr>
    </w:p>
  </w:footnote>
  <w:footnote w:id="6">
    <w:p w14:paraId="37D2434E" w14:textId="71E2FC6E" w:rsidR="00C61C93" w:rsidRDefault="00C61C93" w:rsidP="00B11B63">
      <w:pPr>
        <w:pStyle w:val="FootnoteText"/>
        <w:ind w:firstLine="360"/>
        <w:jc w:val="both"/>
      </w:pPr>
      <w:r>
        <w:rPr>
          <w:rStyle w:val="FootnoteReference"/>
        </w:rPr>
        <w:footnoteRef/>
      </w:r>
      <w:r>
        <w:t xml:space="preserve"> When the promisor fails to deliver a </w:t>
      </w:r>
      <w:r w:rsidRPr="006033BC">
        <w:t>unique asset like real estate or a painting</w:t>
      </w:r>
      <w:r>
        <w:t xml:space="preserve">, instead of awarding monetary damages for the breach, the court may award ownership of the promised item to the promisee. This is </w:t>
      </w:r>
      <w:r w:rsidRPr="006033BC">
        <w:t>confusing</w:t>
      </w:r>
      <w:r>
        <w:t>ly</w:t>
      </w:r>
      <w:r w:rsidRPr="006033BC">
        <w:t xml:space="preserve"> refer</w:t>
      </w:r>
      <w:r>
        <w:t>red</w:t>
      </w:r>
      <w:r w:rsidRPr="006033BC">
        <w:t xml:space="preserve"> to </w:t>
      </w:r>
      <w:r>
        <w:t xml:space="preserve">in the law </w:t>
      </w:r>
      <w:r w:rsidRPr="006033BC">
        <w:t>as “specific performance</w:t>
      </w:r>
      <w:r>
        <w:t>.</w:t>
      </w:r>
      <w:r w:rsidRPr="006033BC">
        <w:t xml:space="preserve">” </w:t>
      </w:r>
      <w:r>
        <w:t>(See the extended quote by Horwitz below regarding enforcing an executory contract—a</w:t>
      </w:r>
      <w:r w:rsidRPr="00742B21">
        <w:t xml:space="preserve"> </w:t>
      </w:r>
      <w:r>
        <w:t xml:space="preserve">future, conditional transfer; Evers 1977, n.11—to deliver stock as being enforced by specific performance, for example. See also </w:t>
      </w:r>
      <w:bookmarkStart w:id="44" w:name="OLE_LINK709"/>
      <w:bookmarkStart w:id="45" w:name="OLE_LINK710"/>
      <w:r>
        <w:t>Levasseur 2010, §8.2.1</w:t>
      </w:r>
      <w:bookmarkEnd w:id="44"/>
      <w:bookmarkEnd w:id="45"/>
      <w:r>
        <w:t xml:space="preserve">.) However, </w:t>
      </w:r>
      <w:r w:rsidRPr="006033BC">
        <w:t xml:space="preserve">enforcing an obligation </w:t>
      </w:r>
      <w:r w:rsidRPr="004D64C9">
        <w:rPr>
          <w:i/>
          <w:iCs/>
        </w:rPr>
        <w:t>to give</w:t>
      </w:r>
      <w:r w:rsidRPr="006033BC">
        <w:t xml:space="preserve"> should </w:t>
      </w:r>
      <w:r w:rsidRPr="00EE6288">
        <w:rPr>
          <w:i/>
          <w:iCs/>
        </w:rPr>
        <w:t>not</w:t>
      </w:r>
      <w:r>
        <w:t xml:space="preserve"> </w:t>
      </w:r>
      <w:r w:rsidRPr="006033BC">
        <w:t>be viewed as specific performance</w:t>
      </w:r>
      <w:r>
        <w:t xml:space="preserve"> </w:t>
      </w:r>
      <w:r w:rsidRPr="00291064">
        <w:rPr>
          <w:i/>
          <w:iCs/>
        </w:rPr>
        <w:t>at all</w:t>
      </w:r>
      <w:r w:rsidRPr="006033BC">
        <w:t>; that term should</w:t>
      </w:r>
      <w:r>
        <w:t xml:space="preserve"> be</w:t>
      </w:r>
      <w:r w:rsidRPr="006033BC">
        <w:t xml:space="preserve"> </w:t>
      </w:r>
      <w:r>
        <w:t xml:space="preserve">reserved </w:t>
      </w:r>
      <w:r w:rsidRPr="006033BC">
        <w:t xml:space="preserve">for </w:t>
      </w:r>
      <w:r w:rsidRPr="000C243D">
        <w:rPr>
          <w:i/>
          <w:iCs/>
        </w:rPr>
        <w:t>compelling</w:t>
      </w:r>
      <w:r w:rsidRPr="006033BC">
        <w:t xml:space="preserve"> the </w:t>
      </w:r>
      <w:r>
        <w:t>promisor-</w:t>
      </w:r>
      <w:r w:rsidRPr="006033BC">
        <w:t>obligor to perform certain actions</w:t>
      </w:r>
      <w:r>
        <w:t>—</w:t>
      </w:r>
      <w:r w:rsidRPr="00250816">
        <w:rPr>
          <w:i/>
          <w:iCs/>
        </w:rPr>
        <w:t>to do</w:t>
      </w:r>
      <w:r>
        <w:t xml:space="preserve"> something</w:t>
      </w:r>
      <w:r w:rsidRPr="006033BC">
        <w:t xml:space="preserve">. Ordering the promisor to hand over a plot of land or painting </w:t>
      </w:r>
      <w:r>
        <w:t xml:space="preserve">or other unique good </w:t>
      </w:r>
      <w:r w:rsidRPr="006033BC">
        <w:t xml:space="preserve">is no different than ordering him to hand over </w:t>
      </w:r>
      <w:r>
        <w:t xml:space="preserve">an amount of </w:t>
      </w:r>
      <w:r w:rsidRPr="006033BC">
        <w:t>money.</w:t>
      </w:r>
      <w:r>
        <w:t xml:space="preserve"> Such a decision simply recognizes that the promisee is the rightful owner of the money, painting, or land and that the promisee is entitled to its possession under property law. This is another illustration of how contract law is just an application of and based on the more fundamental category of property law.</w:t>
      </w:r>
    </w:p>
  </w:footnote>
  <w:footnote w:id="7">
    <w:p w14:paraId="278F03D0" w14:textId="47C09730" w:rsidR="00C61C93" w:rsidRDefault="00C61C93" w:rsidP="00B11B63">
      <w:pPr>
        <w:pStyle w:val="FootnoteText"/>
        <w:ind w:firstLine="360"/>
        <w:jc w:val="both"/>
      </w:pPr>
      <w:r>
        <w:rPr>
          <w:rStyle w:val="FootnoteReference"/>
        </w:rPr>
        <w:footnoteRef/>
      </w:r>
      <w:r>
        <w:t xml:space="preserve"> Rothbard had previously suggested something along these lines in his 1962 treatise </w:t>
      </w:r>
      <w:r>
        <w:rPr>
          <w:i/>
          <w:iCs/>
        </w:rPr>
        <w:t>Man, Economy, and State</w:t>
      </w:r>
      <w:r>
        <w:t xml:space="preserve"> (2009, </w:t>
      </w:r>
      <w:r w:rsidRPr="00962FFB">
        <w:t>ch. 2, §13</w:t>
      </w:r>
      <w:r>
        <w:t xml:space="preserve">, pp. 177–79) and later in an article first published in 1974 (Rothbard 2011, p. 347), but this approach was not fully developed until Evers (1977). See </w:t>
      </w:r>
      <w:r w:rsidRPr="00E9642A">
        <w:t>Kinsella</w:t>
      </w:r>
      <w:r>
        <w:t xml:space="preserve"> (</w:t>
      </w:r>
      <w:r w:rsidRPr="00E9642A">
        <w:t>2010</w:t>
      </w:r>
      <w:r>
        <w:t>a</w:t>
      </w:r>
      <w:r w:rsidRPr="00E9642A">
        <w:t>)</w:t>
      </w:r>
      <w:r>
        <w:t>, discussing the origin of the TTTC</w:t>
      </w:r>
      <w:r w:rsidRPr="00E9642A">
        <w:t>.</w:t>
      </w:r>
    </w:p>
  </w:footnote>
  <w:footnote w:id="8">
    <w:p w14:paraId="734F070F" w14:textId="504A9F1B" w:rsidR="00C61C93" w:rsidRDefault="00C61C93" w:rsidP="00B11B63">
      <w:pPr>
        <w:pStyle w:val="FootnoteText"/>
        <w:ind w:firstLine="360"/>
        <w:jc w:val="both"/>
      </w:pPr>
      <w:r>
        <w:rPr>
          <w:rStyle w:val="FootnoteReference"/>
        </w:rPr>
        <w:footnoteRef/>
      </w:r>
      <w:r>
        <w:t xml:space="preserve"> </w:t>
      </w:r>
      <w:bookmarkStart w:id="54" w:name="OLE_LINK773"/>
      <w:bookmarkStart w:id="55" w:name="OLE_LINK774"/>
      <w:r>
        <w:t xml:space="preserve">A service or employment agreement only involves </w:t>
      </w:r>
      <w:r>
        <w:rPr>
          <w:i/>
          <w:iCs/>
        </w:rPr>
        <w:t>one</w:t>
      </w:r>
      <w:r>
        <w:t xml:space="preserve"> title transfer: of money </w:t>
      </w:r>
      <w:proofErr w:type="gramStart"/>
      <w:r>
        <w:t>from the employer,</w:t>
      </w:r>
      <w:proofErr w:type="gramEnd"/>
      <w:r>
        <w:t xml:space="preserve"> to the employee conditioned on his performing certain actions</w:t>
      </w:r>
      <w:bookmarkEnd w:id="54"/>
      <w:bookmarkEnd w:id="55"/>
      <w:r>
        <w:t>. See Kinsella (</w:t>
      </w:r>
      <w:r w:rsidRPr="001C39AA">
        <w:rPr>
          <w:sz w:val="22"/>
          <w:szCs w:val="22"/>
        </w:rPr>
        <w:t>2023</w:t>
      </w:r>
      <w:r w:rsidR="00961336">
        <w:rPr>
          <w:sz w:val="22"/>
          <w:szCs w:val="22"/>
        </w:rPr>
        <w:t>f</w:t>
      </w:r>
      <w:r>
        <w:t xml:space="preserve">, </w:t>
      </w:r>
      <w:r w:rsidR="006B1334" w:rsidRPr="006B1334">
        <w:t>text at note 37 and </w:t>
      </w:r>
      <w:r>
        <w:t xml:space="preserve">text at notes 40–43). </w:t>
      </w:r>
      <w:r w:rsidR="008B3C8E" w:rsidRPr="008B3C8E">
        <w:t>Regarding the sale of a hope as the object of a contract of sale, see La. Civ. Code, arts. 2451, 1912, 2450 and 1767; Levasseur and Gruning (2015, §2.3.4).</w:t>
      </w:r>
    </w:p>
  </w:footnote>
  <w:footnote w:id="9">
    <w:p w14:paraId="51867938" w14:textId="1DECC8A4" w:rsidR="00C61C93" w:rsidRDefault="00C61C93" w:rsidP="00B11B63">
      <w:pPr>
        <w:pStyle w:val="FootnoteText"/>
        <w:ind w:firstLine="360"/>
        <w:jc w:val="both"/>
      </w:pPr>
      <w:r>
        <w:rPr>
          <w:rStyle w:val="FootnoteReference"/>
        </w:rPr>
        <w:footnoteRef/>
      </w:r>
      <w:r>
        <w:t xml:space="preserve"> Barnett’s consent theory of contract also dispenses with the necessity for consideration. Barnett (1986a, pp. </w:t>
      </w:r>
      <w:r w:rsidRPr="00A53008">
        <w:t>311</w:t>
      </w:r>
      <w:r>
        <w:t>–</w:t>
      </w:r>
      <w:r w:rsidRPr="00A53008">
        <w:t>12</w:t>
      </w:r>
      <w:r>
        <w:t xml:space="preserve">; 1991, pp. </w:t>
      </w:r>
      <w:bookmarkStart w:id="58" w:name="OLE_LINK786"/>
      <w:bookmarkStart w:id="59" w:name="OLE_LINK787"/>
      <w:r>
        <w:t>149–50</w:t>
      </w:r>
      <w:bookmarkEnd w:id="58"/>
      <w:bookmarkEnd w:id="59"/>
      <w:r>
        <w:t xml:space="preserve">; 1987, p. 1979). </w:t>
      </w:r>
    </w:p>
  </w:footnote>
  <w:footnote w:id="10">
    <w:p w14:paraId="09182AFF" w14:textId="59C6BAA1" w:rsidR="00C61C93" w:rsidRDefault="00C61C93" w:rsidP="00B11B63">
      <w:pPr>
        <w:pStyle w:val="FootnoteText"/>
        <w:ind w:firstLine="360"/>
        <w:jc w:val="both"/>
      </w:pPr>
      <w:r>
        <w:rPr>
          <w:rStyle w:val="FootnoteReference"/>
        </w:rPr>
        <w:footnoteRef/>
      </w:r>
      <w:r>
        <w:t xml:space="preserve"> On good faith as it pertains to contractual matters, see La. Civ. Code</w:t>
      </w:r>
      <w:r w:rsidR="00961336">
        <w:t xml:space="preserve"> (2024)</w:t>
      </w:r>
      <w:r>
        <w:t xml:space="preserve">, art. 1759: “Good faith shall govern the conduct of the obligor and the obligee in whatever pertains to the obligation” and art. 1983: “Contracts must be performed in good faith.” See also Levasseur </w:t>
      </w:r>
      <w:r w:rsidR="00941D35">
        <w:t>(</w:t>
      </w:r>
      <w:r>
        <w:t>2020, ¶¶ 39–43</w:t>
      </w:r>
      <w:r w:rsidR="00941D35">
        <w:t xml:space="preserve">; </w:t>
      </w:r>
      <w:r>
        <w:t>2010, §8.1.2</w:t>
      </w:r>
      <w:r w:rsidR="00941D35">
        <w:t>), and</w:t>
      </w:r>
      <w:r>
        <w:t xml:space="preserve"> Litvinoff </w:t>
      </w:r>
      <w:r w:rsidR="00941D35">
        <w:t>(</w:t>
      </w:r>
      <w:r>
        <w:t>2001, §1.8</w:t>
      </w:r>
      <w:r w:rsidR="00941D35">
        <w:t>)</w:t>
      </w:r>
      <w:r>
        <w:t>.</w:t>
      </w:r>
    </w:p>
  </w:footnote>
  <w:footnote w:id="11">
    <w:p w14:paraId="161F35E2" w14:textId="3262348C" w:rsidR="00C61C93" w:rsidRDefault="00C61C93" w:rsidP="00B11B63">
      <w:pPr>
        <w:pStyle w:val="FootnoteText"/>
        <w:ind w:firstLine="360"/>
        <w:jc w:val="both"/>
      </w:pPr>
      <w:r>
        <w:rPr>
          <w:rStyle w:val="FootnoteReference"/>
        </w:rPr>
        <w:footnoteRef/>
      </w:r>
      <w:r>
        <w:t xml:space="preserve"> Discussed further in the section “</w:t>
      </w:r>
      <w:r w:rsidRPr="00DF7063">
        <w:rPr>
          <w:i/>
          <w:iCs/>
        </w:rPr>
        <w:t>Implicit Theft and Debtor’s Prison</w:t>
      </w:r>
      <w:r w:rsidRPr="00FF58AE">
        <w:t>,</w:t>
      </w:r>
      <w:r>
        <w:t>”</w:t>
      </w:r>
      <w:r w:rsidRPr="00FF58AE">
        <w:t xml:space="preserve"> below</w:t>
      </w:r>
      <w:r>
        <w:t>.</w:t>
      </w:r>
      <w:r w:rsidR="00A0650B">
        <w:t xml:space="preserve"> </w:t>
      </w:r>
      <w:r w:rsidR="00A0650B" w:rsidRPr="00A0650B">
        <w:t>Penner seems to have a theory of contractual title transfer, based on abandonment, license, and possession, similar to mine. See </w:t>
      </w:r>
      <w:r w:rsidR="00A0650B">
        <w:t>Penner 1997,</w:t>
      </w:r>
      <w:r w:rsidR="00A0650B" w:rsidRPr="00A0650B">
        <w:t xml:space="preserve"> pp. 79–85, </w:t>
      </w:r>
      <w:r w:rsidR="00A0650B" w:rsidRPr="00A0650B">
        <w:rPr>
          <w:i/>
          <w:iCs/>
        </w:rPr>
        <w:t>et pass</w:t>
      </w:r>
      <w:r w:rsidR="00A0650B" w:rsidRPr="00A0650B">
        <w:t xml:space="preserve">., </w:t>
      </w:r>
      <w:proofErr w:type="gramStart"/>
      <w:r w:rsidR="00A0650B" w:rsidRPr="00A0650B">
        <w:t>in particular pp.</w:t>
      </w:r>
      <w:proofErr w:type="gramEnd"/>
      <w:r w:rsidR="00A0650B" w:rsidRPr="00A0650B">
        <w:t xml:space="preserve"> 84–85</w:t>
      </w:r>
      <w:r w:rsidR="00A0650B">
        <w:t>.</w:t>
      </w:r>
    </w:p>
  </w:footnote>
  <w:footnote w:id="12">
    <w:p w14:paraId="12934CEA" w14:textId="712ECAF7" w:rsidR="008F77BD" w:rsidRDefault="008F77BD" w:rsidP="00686A5D">
      <w:pPr>
        <w:pStyle w:val="FootnoteText"/>
        <w:ind w:firstLine="360"/>
        <w:jc w:val="both"/>
      </w:pPr>
      <w:r>
        <w:rPr>
          <w:rStyle w:val="FootnoteReference"/>
        </w:rPr>
        <w:footnoteRef/>
      </w:r>
      <w:r w:rsidRPr="00686A5D">
        <w:rPr>
          <w:lang w:val="es-ES"/>
        </w:rPr>
        <w:t xml:space="preserve"> See </w:t>
      </w:r>
      <w:proofErr w:type="spellStart"/>
      <w:r w:rsidRPr="00686A5D">
        <w:rPr>
          <w:lang w:val="es-ES"/>
        </w:rPr>
        <w:t>also</w:t>
      </w:r>
      <w:proofErr w:type="spellEnd"/>
      <w:r w:rsidRPr="00686A5D">
        <w:rPr>
          <w:lang w:val="es-ES"/>
        </w:rPr>
        <w:t xml:space="preserve"> Huerta de Soto (2020, ch. 1, §2, p. 3); La. </w:t>
      </w:r>
      <w:proofErr w:type="spellStart"/>
      <w:r w:rsidRPr="00686A5D">
        <w:rPr>
          <w:lang w:val="es-ES"/>
        </w:rPr>
        <w:t>Civ</w:t>
      </w:r>
      <w:proofErr w:type="spellEnd"/>
      <w:r w:rsidRPr="00686A5D">
        <w:rPr>
          <w:lang w:val="es-ES"/>
        </w:rPr>
        <w:t xml:space="preserve">. </w:t>
      </w:r>
      <w:r w:rsidRPr="008F77BD">
        <w:t>Code</w:t>
      </w:r>
      <w:r w:rsidR="00961336">
        <w:t xml:space="preserve"> (2024)</w:t>
      </w:r>
      <w:r w:rsidRPr="008F77BD">
        <w:t xml:space="preserve">, art. 2905; du Plessis </w:t>
      </w:r>
      <w:r>
        <w:t>(</w:t>
      </w:r>
      <w:r w:rsidRPr="008F77BD">
        <w:t>2020, p. 186</w:t>
      </w:r>
      <w:r>
        <w:t xml:space="preserve">). On the distinction in the Roman law between </w:t>
      </w:r>
      <w:r w:rsidRPr="008F77BD">
        <w:t>a loan for consumption (</w:t>
      </w:r>
      <w:r w:rsidRPr="008F77BD">
        <w:rPr>
          <w:i/>
          <w:iCs/>
        </w:rPr>
        <w:t>mutuum</w:t>
      </w:r>
      <w:r w:rsidRPr="008F77BD">
        <w:t xml:space="preserve">) </w:t>
      </w:r>
      <w:r>
        <w:t xml:space="preserve">and </w:t>
      </w:r>
      <w:r w:rsidRPr="008F77BD">
        <w:t>a loan for use (</w:t>
      </w:r>
      <w:r w:rsidRPr="008F77BD">
        <w:rPr>
          <w:i/>
          <w:iCs/>
        </w:rPr>
        <w:t>commodatum</w:t>
      </w:r>
      <w:r w:rsidRPr="008F77BD">
        <w:t>)</w:t>
      </w:r>
      <w:r>
        <w:t>, s</w:t>
      </w:r>
      <w:r w:rsidRPr="008F77BD">
        <w:t xml:space="preserve">ee Huerta de Soto </w:t>
      </w:r>
      <w:r>
        <w:t>(</w:t>
      </w:r>
      <w:r w:rsidRPr="008F77BD">
        <w:t>2020, ch. 1, §1</w:t>
      </w:r>
      <w:r>
        <w:t>)</w:t>
      </w:r>
      <w:r w:rsidRPr="008F77BD">
        <w:t>; La. Civ. Code</w:t>
      </w:r>
      <w:r w:rsidR="00961336">
        <w:t xml:space="preserve"> (2024)</w:t>
      </w:r>
      <w:r w:rsidRPr="008F77BD">
        <w:t>, arts. 2891 and 2904</w:t>
      </w:r>
      <w:r>
        <w:t>.</w:t>
      </w:r>
    </w:p>
  </w:footnote>
  <w:footnote w:id="13">
    <w:p w14:paraId="7F7D604C" w14:textId="07E8B0C9" w:rsidR="001115C6" w:rsidRDefault="001115C6" w:rsidP="00686A5D">
      <w:pPr>
        <w:pStyle w:val="FootnoteText"/>
        <w:ind w:firstLine="360"/>
        <w:jc w:val="both"/>
      </w:pPr>
      <w:r>
        <w:rPr>
          <w:rStyle w:val="FootnoteReference"/>
        </w:rPr>
        <w:footnoteRef/>
      </w:r>
      <w:r>
        <w:t xml:space="preserve"> Interestingly, elsewhere Rothbard (2009, ch. 10, §7) again employs the concept of “implicit theft” in criticizing patent law: “Patents prevent a man from using his invention even though all the property is his and he has not stolen the invention, either explicitly or implicitly, from the first inventor.” “Inventions” are not ownable, scarce resources</w:t>
      </w:r>
      <w:r w:rsidR="00C37800">
        <w:t xml:space="preserve"> (they are designs, recipes, processes, not physical objects)</w:t>
      </w:r>
      <w:r>
        <w:t>, and so cannot be “owned,” and thus cannot be stolen, so this reasoning is a bit confused, and, in any case, the concept of “implicit theft” makes no sense.</w:t>
      </w:r>
      <w:r w:rsidR="00B07B28">
        <w:t xml:space="preserve"> Rothbard’s confusion on this issue also led him to support a type of patent</w:t>
      </w:r>
      <w:r w:rsidR="00CB2F0C">
        <w:t xml:space="preserve"> (and copyright)</w:t>
      </w:r>
      <w:r w:rsidR="00B07B28">
        <w:t xml:space="preserve"> by contract. See </w:t>
      </w:r>
      <w:r w:rsidR="00C37800">
        <w:t>Kinsella (2008, the section “Contract vs. Reserved Rights,” and 2023</w:t>
      </w:r>
      <w:r w:rsidR="00961336">
        <w:t>g</w:t>
      </w:r>
      <w:r w:rsidR="00C37800">
        <w:t xml:space="preserve">, n.46), and note </w:t>
      </w:r>
      <w:r w:rsidR="00C37800">
        <w:fldChar w:fldCharType="begin"/>
      </w:r>
      <w:r w:rsidR="00C37800">
        <w:instrText xml:space="preserve"> NOTEREF _Ref186235773 \h </w:instrText>
      </w:r>
      <w:r w:rsidR="00C37800">
        <w:fldChar w:fldCharType="separate"/>
      </w:r>
      <w:r w:rsidR="00C37800">
        <w:t>3</w:t>
      </w:r>
      <w:r w:rsidR="00C37800">
        <w:fldChar w:fldCharType="end"/>
      </w:r>
      <w:r w:rsidR="00C37800">
        <w:t>, above.</w:t>
      </w:r>
    </w:p>
  </w:footnote>
  <w:footnote w:id="14">
    <w:p w14:paraId="46CBC313" w14:textId="61FC5027" w:rsidR="00595FE8" w:rsidRDefault="00595FE8" w:rsidP="00595FE8">
      <w:pPr>
        <w:pStyle w:val="FootnoteText"/>
        <w:ind w:firstLine="360"/>
        <w:jc w:val="both"/>
      </w:pPr>
      <w:r>
        <w:rPr>
          <w:rStyle w:val="FootnoteReference"/>
        </w:rPr>
        <w:footnoteRef/>
      </w:r>
      <w:r>
        <w:t xml:space="preserve"> See also Justinian 1985, </w:t>
      </w:r>
      <w:r w:rsidRPr="00595FE8">
        <w:t>41.7.5 and 41.7.5.1</w:t>
      </w:r>
      <w:r>
        <w:t xml:space="preserve"> (emphasis in second paragraph added): </w:t>
      </w:r>
    </w:p>
    <w:p w14:paraId="2BCFE04D" w14:textId="77777777" w:rsidR="00595FE8" w:rsidRPr="00595FE8" w:rsidRDefault="00595FE8" w:rsidP="00595FE8">
      <w:pPr>
        <w:pStyle w:val="FootnoteText"/>
        <w:ind w:left="540" w:right="540"/>
        <w:jc w:val="both"/>
      </w:pPr>
      <w:r w:rsidRPr="00595FE8">
        <w:rPr>
          <w:i/>
          <w:iCs/>
        </w:rPr>
        <w:t>POMPONIUS, Sabinus, book 32</w:t>
      </w:r>
      <w:r w:rsidRPr="00595FE8">
        <w:t xml:space="preserve">: Suppose that you are possessing something as having been abandoned, and I, knowing that to be the case, buy it from you; it is settled law that I will </w:t>
      </w:r>
      <w:proofErr w:type="spellStart"/>
      <w:r w:rsidRPr="00595FE8">
        <w:t>usucapt</w:t>
      </w:r>
      <w:proofErr w:type="spellEnd"/>
      <w:r w:rsidRPr="00595FE8">
        <w:t xml:space="preserve"> it, and it is no obstacle thereto that the thing is not part of your assets; for the law would be the same if I bought from you a thing given to you by your wife, because you made the sale, as it were, by the will and consent of the owner.</w:t>
      </w:r>
    </w:p>
    <w:p w14:paraId="609610A0" w14:textId="34A0331C" w:rsidR="00595FE8" w:rsidRPr="00595FE8" w:rsidRDefault="00595FE8" w:rsidP="003530F9">
      <w:pPr>
        <w:pStyle w:val="FootnoteText"/>
        <w:ind w:left="540" w:right="540"/>
        <w:jc w:val="both"/>
      </w:pPr>
      <w:r w:rsidRPr="00595FE8">
        <w:t>1. </w:t>
      </w:r>
      <w:r w:rsidRPr="003530F9">
        <w:rPr>
          <w:i/>
          <w:iCs/>
        </w:rPr>
        <w:t>What someone has abandoned becomes mine immediately</w:t>
      </w:r>
      <w:r w:rsidRPr="00595FE8">
        <w:t>; just as, when someone scatters largesse or releases birds, although he does not know the person whom he wishes to have them, they yet </w:t>
      </w:r>
      <w:r w:rsidRPr="003530F9">
        <w:rPr>
          <w:i/>
          <w:iCs/>
        </w:rPr>
        <w:t>become the property of the person to whom chance takes them</w:t>
      </w:r>
      <w:r w:rsidRPr="00595FE8">
        <w:t>, so </w:t>
      </w:r>
      <w:r w:rsidRPr="003530F9">
        <w:rPr>
          <w:i/>
          <w:iCs/>
          <w:u w:val="single"/>
        </w:rPr>
        <w:t>a person who abandons something is deemed to wish it to become the property of another</w:t>
      </w:r>
      <w:r w:rsidRPr="00595FE8">
        <w:t>.</w:t>
      </w:r>
    </w:p>
  </w:footnote>
  <w:footnote w:id="15">
    <w:p w14:paraId="23FF9C92" w14:textId="2ECFB47F" w:rsidR="00C61C93" w:rsidRDefault="00C61C93" w:rsidP="00B11B63">
      <w:pPr>
        <w:pStyle w:val="FootnoteText"/>
        <w:ind w:firstLine="360"/>
        <w:jc w:val="both"/>
      </w:pPr>
      <w:r>
        <w:rPr>
          <w:rStyle w:val="FootnoteReference"/>
        </w:rPr>
        <w:footnoteRef/>
      </w:r>
      <w:r>
        <w:t xml:space="preserve"> Evers (1977, p. 11 n.5), by contrast, says that failure to repay a loan is fraudulent even if the debtor has no money, but that this only implies that creditor would have a lien on the debtor’s future earnings. He says nothing about debtor’s prison.</w:t>
      </w:r>
    </w:p>
  </w:footnote>
  <w:footnote w:id="16">
    <w:p w14:paraId="6193DCEB" w14:textId="04D2B83C" w:rsidR="00C61C93" w:rsidRDefault="00C61C93" w:rsidP="00B11B63">
      <w:pPr>
        <w:pStyle w:val="FootnoteText"/>
        <w:ind w:firstLine="360"/>
        <w:jc w:val="both"/>
      </w:pPr>
      <w:r>
        <w:rPr>
          <w:rStyle w:val="FootnoteReference"/>
        </w:rPr>
        <w:footnoteRef/>
      </w:r>
      <w:r>
        <w:t xml:space="preserve"> Alessandro Fusillo observed to me that </w:t>
      </w:r>
      <w:r w:rsidRPr="00CE50CE">
        <w:t xml:space="preserve">Rothbard </w:t>
      </w:r>
      <w:r>
        <w:t xml:space="preserve">might not have </w:t>
      </w:r>
      <w:proofErr w:type="gramStart"/>
      <w:r>
        <w:t>been aware of the fact that</w:t>
      </w:r>
      <w:proofErr w:type="gramEnd"/>
      <w:r>
        <w:t xml:space="preserve"> his notion of “implicit theft” </w:t>
      </w:r>
      <w:r w:rsidRPr="00CE50CE">
        <w:t>echoes the concept of quasi delicts.</w:t>
      </w:r>
      <w:r>
        <w:t xml:space="preserve"> See La. Civ. Code</w:t>
      </w:r>
      <w:r w:rsidR="00961336">
        <w:t xml:space="preserve"> (2024)</w:t>
      </w:r>
      <w:r>
        <w:t>, arts. 2315 and 2316; Levasseur (2009, §1.1.</w:t>
      </w:r>
      <w:proofErr w:type="gramStart"/>
      <w:r>
        <w:t>1.D</w:t>
      </w:r>
      <w:proofErr w:type="gramEnd"/>
      <w:r>
        <w:t>).</w:t>
      </w:r>
    </w:p>
  </w:footnote>
  <w:footnote w:id="17">
    <w:p w14:paraId="6385AEFC" w14:textId="31055B2A" w:rsidR="00C61C93" w:rsidRDefault="00C61C93" w:rsidP="00B11B63">
      <w:pPr>
        <w:pStyle w:val="FootnoteText"/>
        <w:ind w:firstLine="360"/>
        <w:jc w:val="both"/>
      </w:pPr>
      <w:r>
        <w:rPr>
          <w:rStyle w:val="FootnoteReference"/>
        </w:rPr>
        <w:footnoteRef/>
      </w:r>
      <w:r>
        <w:t xml:space="preserve"> </w:t>
      </w:r>
      <w:bookmarkStart w:id="72" w:name="OLE_LINK5"/>
      <w:bookmarkStart w:id="73" w:name="OLE_LINK6"/>
      <w:r>
        <w:t xml:space="preserve">Barnett disagrees with the TTTC. In personal correspondence with me he wrote: </w:t>
      </w:r>
      <w:r w:rsidRPr="0078412F">
        <w:t xml:space="preserve">“A </w:t>
      </w:r>
      <w:r>
        <w:t>‘</w:t>
      </w:r>
      <w:r w:rsidRPr="0078412F">
        <w:t>title transfer theory</w:t>
      </w:r>
      <w:r>
        <w:t>’</w:t>
      </w:r>
      <w:r w:rsidRPr="0078412F">
        <w:t xml:space="preserve"> does not identify the legal/conceptual criteria by which commitments to transfer entitlements become legally enforceable, which is what contract theory seeks to identify. </w:t>
      </w:r>
      <w:proofErr w:type="gramStart"/>
      <w:r w:rsidRPr="0078412F">
        <w:t>That criter</w:t>
      </w:r>
      <w:r>
        <w:t>ia</w:t>
      </w:r>
      <w:proofErr w:type="gramEnd"/>
      <w:r w:rsidRPr="0078412F">
        <w:t xml:space="preserve">, I maintain, is the manifestation of intent to be legally bound or </w:t>
      </w:r>
      <w:r>
        <w:t>‘</w:t>
      </w:r>
      <w:r w:rsidRPr="0078412F">
        <w:t>consent.</w:t>
      </w:r>
      <w:r>
        <w:t>’</w:t>
      </w:r>
      <w:r w:rsidRPr="0078412F">
        <w:t xml:space="preserve"> As a label for the theory of contractual obligation, </w:t>
      </w:r>
      <w:r>
        <w:t>‘</w:t>
      </w:r>
      <w:r w:rsidRPr="0078412F">
        <w:t>title transfer</w:t>
      </w:r>
      <w:r>
        <w:t>’</w:t>
      </w:r>
      <w:r w:rsidRPr="0078412F">
        <w:t xml:space="preserve"> begs the question.” </w:t>
      </w:r>
      <w:r>
        <w:t>(</w:t>
      </w:r>
      <w:r w:rsidRPr="0078412F">
        <w:t>Barnett</w:t>
      </w:r>
      <w:r>
        <w:t xml:space="preserve"> 2024) Needless to say, I disagree with Barnett here.</w:t>
      </w:r>
      <w:bookmarkEnd w:id="72"/>
      <w:bookmarkEnd w:id="7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893C9" w14:textId="77777777" w:rsidR="00C61C93" w:rsidRDefault="00C61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41873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985BF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8461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B08B6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0800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42B4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1234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E88F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344A9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763E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22CB0"/>
    <w:multiLevelType w:val="hybridMultilevel"/>
    <w:tmpl w:val="38CAE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E4FDF"/>
    <w:multiLevelType w:val="multilevel"/>
    <w:tmpl w:val="E54A0E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F4487"/>
    <w:multiLevelType w:val="multilevel"/>
    <w:tmpl w:val="62DAAB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780D6C"/>
    <w:multiLevelType w:val="multilevel"/>
    <w:tmpl w:val="477CBF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101A6"/>
    <w:multiLevelType w:val="multilevel"/>
    <w:tmpl w:val="CACC7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D7A37"/>
    <w:multiLevelType w:val="multilevel"/>
    <w:tmpl w:val="BEE604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31D99"/>
    <w:multiLevelType w:val="hybridMultilevel"/>
    <w:tmpl w:val="3932A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DE80A2C"/>
    <w:multiLevelType w:val="hybridMultilevel"/>
    <w:tmpl w:val="C58C0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E0B4F40"/>
    <w:multiLevelType w:val="hybridMultilevel"/>
    <w:tmpl w:val="09B26316"/>
    <w:lvl w:ilvl="0" w:tplc="307EBDB2">
      <w:start w:val="14"/>
      <w:numFmt w:val="bullet"/>
      <w:lvlText w:val="—"/>
      <w:lvlJc w:val="left"/>
      <w:pPr>
        <w:ind w:left="800" w:hanging="440"/>
      </w:pPr>
      <w:rPr>
        <w:rFonts w:ascii="Adobe Caslon Pro" w:eastAsiaTheme="minorHAnsi" w:hAnsi="Adobe Caslon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1588164">
    <w:abstractNumId w:val="11"/>
  </w:num>
  <w:num w:numId="2" w16cid:durableId="1845823646">
    <w:abstractNumId w:val="17"/>
  </w:num>
  <w:num w:numId="3" w16cid:durableId="2034726760">
    <w:abstractNumId w:val="14"/>
  </w:num>
  <w:num w:numId="4" w16cid:durableId="2128348829">
    <w:abstractNumId w:val="12"/>
  </w:num>
  <w:num w:numId="5" w16cid:durableId="210004053">
    <w:abstractNumId w:val="16"/>
  </w:num>
  <w:num w:numId="6" w16cid:durableId="901604254">
    <w:abstractNumId w:val="13"/>
  </w:num>
  <w:num w:numId="7" w16cid:durableId="1704558062">
    <w:abstractNumId w:val="15"/>
  </w:num>
  <w:num w:numId="8" w16cid:durableId="171071461">
    <w:abstractNumId w:val="0"/>
  </w:num>
  <w:num w:numId="9" w16cid:durableId="734202819">
    <w:abstractNumId w:val="1"/>
  </w:num>
  <w:num w:numId="10" w16cid:durableId="1661349371">
    <w:abstractNumId w:val="2"/>
  </w:num>
  <w:num w:numId="11" w16cid:durableId="2138601274">
    <w:abstractNumId w:val="3"/>
  </w:num>
  <w:num w:numId="12" w16cid:durableId="457266623">
    <w:abstractNumId w:val="8"/>
  </w:num>
  <w:num w:numId="13" w16cid:durableId="641228825">
    <w:abstractNumId w:val="4"/>
  </w:num>
  <w:num w:numId="14" w16cid:durableId="762846235">
    <w:abstractNumId w:val="5"/>
  </w:num>
  <w:num w:numId="15" w16cid:durableId="1004478105">
    <w:abstractNumId w:val="6"/>
  </w:num>
  <w:num w:numId="16" w16cid:durableId="545681010">
    <w:abstractNumId w:val="7"/>
  </w:num>
  <w:num w:numId="17" w16cid:durableId="357859107">
    <w:abstractNumId w:val="9"/>
  </w:num>
  <w:num w:numId="18" w16cid:durableId="742602661">
    <w:abstractNumId w:val="10"/>
  </w:num>
  <w:num w:numId="19" w16cid:durableId="1795169596">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numFmt w:val="chicago"/>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5B"/>
    <w:rsid w:val="000006E5"/>
    <w:rsid w:val="000014BE"/>
    <w:rsid w:val="00001ADB"/>
    <w:rsid w:val="0000262A"/>
    <w:rsid w:val="00003459"/>
    <w:rsid w:val="000053E1"/>
    <w:rsid w:val="00005589"/>
    <w:rsid w:val="00005D9D"/>
    <w:rsid w:val="00006F7B"/>
    <w:rsid w:val="00007A31"/>
    <w:rsid w:val="000109C2"/>
    <w:rsid w:val="00011DAF"/>
    <w:rsid w:val="00011DDD"/>
    <w:rsid w:val="00011F96"/>
    <w:rsid w:val="0001213B"/>
    <w:rsid w:val="00012248"/>
    <w:rsid w:val="0001277B"/>
    <w:rsid w:val="00013123"/>
    <w:rsid w:val="00013D9E"/>
    <w:rsid w:val="00014630"/>
    <w:rsid w:val="00014728"/>
    <w:rsid w:val="00014B7B"/>
    <w:rsid w:val="00014FBE"/>
    <w:rsid w:val="00017AC1"/>
    <w:rsid w:val="00021638"/>
    <w:rsid w:val="000226E3"/>
    <w:rsid w:val="00022B20"/>
    <w:rsid w:val="00022FE2"/>
    <w:rsid w:val="00023784"/>
    <w:rsid w:val="0002443B"/>
    <w:rsid w:val="000260AB"/>
    <w:rsid w:val="000267F5"/>
    <w:rsid w:val="0002685A"/>
    <w:rsid w:val="00027138"/>
    <w:rsid w:val="000305DA"/>
    <w:rsid w:val="00031504"/>
    <w:rsid w:val="00032572"/>
    <w:rsid w:val="0003315C"/>
    <w:rsid w:val="000339B7"/>
    <w:rsid w:val="00034517"/>
    <w:rsid w:val="00034E77"/>
    <w:rsid w:val="00035AA6"/>
    <w:rsid w:val="000370CB"/>
    <w:rsid w:val="000415F6"/>
    <w:rsid w:val="0004237A"/>
    <w:rsid w:val="00042D82"/>
    <w:rsid w:val="00044025"/>
    <w:rsid w:val="0004414D"/>
    <w:rsid w:val="00045567"/>
    <w:rsid w:val="00045936"/>
    <w:rsid w:val="00045C25"/>
    <w:rsid w:val="00046D35"/>
    <w:rsid w:val="0004737D"/>
    <w:rsid w:val="000479EC"/>
    <w:rsid w:val="00050146"/>
    <w:rsid w:val="0005036D"/>
    <w:rsid w:val="0005072D"/>
    <w:rsid w:val="00051294"/>
    <w:rsid w:val="00054799"/>
    <w:rsid w:val="000547BA"/>
    <w:rsid w:val="000608CB"/>
    <w:rsid w:val="00060B87"/>
    <w:rsid w:val="00060C3B"/>
    <w:rsid w:val="0006107C"/>
    <w:rsid w:val="000613CC"/>
    <w:rsid w:val="00061D2F"/>
    <w:rsid w:val="00061F5B"/>
    <w:rsid w:val="000622F6"/>
    <w:rsid w:val="00062F7B"/>
    <w:rsid w:val="0006350E"/>
    <w:rsid w:val="00063FC5"/>
    <w:rsid w:val="00064524"/>
    <w:rsid w:val="000647E2"/>
    <w:rsid w:val="000650D3"/>
    <w:rsid w:val="00065699"/>
    <w:rsid w:val="00065834"/>
    <w:rsid w:val="0006583B"/>
    <w:rsid w:val="00067516"/>
    <w:rsid w:val="0007018A"/>
    <w:rsid w:val="00070CF6"/>
    <w:rsid w:val="00070E4A"/>
    <w:rsid w:val="000718FA"/>
    <w:rsid w:val="00071E3B"/>
    <w:rsid w:val="0007248E"/>
    <w:rsid w:val="0007310E"/>
    <w:rsid w:val="00073AF4"/>
    <w:rsid w:val="00074794"/>
    <w:rsid w:val="00074BA2"/>
    <w:rsid w:val="00075274"/>
    <w:rsid w:val="00076D87"/>
    <w:rsid w:val="000773F3"/>
    <w:rsid w:val="000819E3"/>
    <w:rsid w:val="00082134"/>
    <w:rsid w:val="0008263F"/>
    <w:rsid w:val="00082D9C"/>
    <w:rsid w:val="00084002"/>
    <w:rsid w:val="0008447D"/>
    <w:rsid w:val="00084F15"/>
    <w:rsid w:val="000856E6"/>
    <w:rsid w:val="00085928"/>
    <w:rsid w:val="00085B07"/>
    <w:rsid w:val="00085E1A"/>
    <w:rsid w:val="00085E6E"/>
    <w:rsid w:val="000860BA"/>
    <w:rsid w:val="00087323"/>
    <w:rsid w:val="00090256"/>
    <w:rsid w:val="00090DB6"/>
    <w:rsid w:val="00091551"/>
    <w:rsid w:val="00091D71"/>
    <w:rsid w:val="0009286A"/>
    <w:rsid w:val="000937FF"/>
    <w:rsid w:val="00094AB9"/>
    <w:rsid w:val="00095D3E"/>
    <w:rsid w:val="00096C2C"/>
    <w:rsid w:val="00097102"/>
    <w:rsid w:val="00097B64"/>
    <w:rsid w:val="00097C83"/>
    <w:rsid w:val="000A052C"/>
    <w:rsid w:val="000A0AF5"/>
    <w:rsid w:val="000A1607"/>
    <w:rsid w:val="000A1E0E"/>
    <w:rsid w:val="000A2830"/>
    <w:rsid w:val="000A2B59"/>
    <w:rsid w:val="000A3403"/>
    <w:rsid w:val="000A3F69"/>
    <w:rsid w:val="000A5074"/>
    <w:rsid w:val="000A7190"/>
    <w:rsid w:val="000B0918"/>
    <w:rsid w:val="000B1222"/>
    <w:rsid w:val="000B1BAA"/>
    <w:rsid w:val="000B40AC"/>
    <w:rsid w:val="000B494C"/>
    <w:rsid w:val="000B5E75"/>
    <w:rsid w:val="000B6341"/>
    <w:rsid w:val="000C0264"/>
    <w:rsid w:val="000C1487"/>
    <w:rsid w:val="000C243D"/>
    <w:rsid w:val="000C24D7"/>
    <w:rsid w:val="000C34D0"/>
    <w:rsid w:val="000C41DE"/>
    <w:rsid w:val="000C504E"/>
    <w:rsid w:val="000D0450"/>
    <w:rsid w:val="000D0928"/>
    <w:rsid w:val="000D1417"/>
    <w:rsid w:val="000D2236"/>
    <w:rsid w:val="000D26BB"/>
    <w:rsid w:val="000D31FD"/>
    <w:rsid w:val="000D448B"/>
    <w:rsid w:val="000D46C3"/>
    <w:rsid w:val="000D546C"/>
    <w:rsid w:val="000D5CC3"/>
    <w:rsid w:val="000D6283"/>
    <w:rsid w:val="000D68B7"/>
    <w:rsid w:val="000D6FBB"/>
    <w:rsid w:val="000E0232"/>
    <w:rsid w:val="000E07CF"/>
    <w:rsid w:val="000E271E"/>
    <w:rsid w:val="000E2AE1"/>
    <w:rsid w:val="000E3B55"/>
    <w:rsid w:val="000E4AC7"/>
    <w:rsid w:val="000E5668"/>
    <w:rsid w:val="000E6279"/>
    <w:rsid w:val="000E6693"/>
    <w:rsid w:val="000E7BA1"/>
    <w:rsid w:val="000F0831"/>
    <w:rsid w:val="000F0DBD"/>
    <w:rsid w:val="000F0EF7"/>
    <w:rsid w:val="000F1806"/>
    <w:rsid w:val="000F3AF0"/>
    <w:rsid w:val="000F59BF"/>
    <w:rsid w:val="000F5BF8"/>
    <w:rsid w:val="000F660D"/>
    <w:rsid w:val="00100924"/>
    <w:rsid w:val="001018A4"/>
    <w:rsid w:val="00101C2B"/>
    <w:rsid w:val="00102697"/>
    <w:rsid w:val="001036E7"/>
    <w:rsid w:val="0010420F"/>
    <w:rsid w:val="00105842"/>
    <w:rsid w:val="0010707B"/>
    <w:rsid w:val="0010723B"/>
    <w:rsid w:val="00107630"/>
    <w:rsid w:val="00110505"/>
    <w:rsid w:val="0011108D"/>
    <w:rsid w:val="001115C6"/>
    <w:rsid w:val="00111BD0"/>
    <w:rsid w:val="00112D4F"/>
    <w:rsid w:val="0011560D"/>
    <w:rsid w:val="001162E9"/>
    <w:rsid w:val="0011683A"/>
    <w:rsid w:val="00117263"/>
    <w:rsid w:val="00117823"/>
    <w:rsid w:val="001217FD"/>
    <w:rsid w:val="001228D7"/>
    <w:rsid w:val="001239A2"/>
    <w:rsid w:val="001240D8"/>
    <w:rsid w:val="001249EE"/>
    <w:rsid w:val="00126C7D"/>
    <w:rsid w:val="00127555"/>
    <w:rsid w:val="00127C16"/>
    <w:rsid w:val="0013073A"/>
    <w:rsid w:val="001308B8"/>
    <w:rsid w:val="0013117E"/>
    <w:rsid w:val="00131A74"/>
    <w:rsid w:val="00132B89"/>
    <w:rsid w:val="00133ACC"/>
    <w:rsid w:val="00134FC6"/>
    <w:rsid w:val="0013620E"/>
    <w:rsid w:val="00136990"/>
    <w:rsid w:val="00137AC8"/>
    <w:rsid w:val="00141FED"/>
    <w:rsid w:val="001422DC"/>
    <w:rsid w:val="0014344F"/>
    <w:rsid w:val="00143BC1"/>
    <w:rsid w:val="00144DF5"/>
    <w:rsid w:val="0014646F"/>
    <w:rsid w:val="001465AB"/>
    <w:rsid w:val="0014776F"/>
    <w:rsid w:val="00150F25"/>
    <w:rsid w:val="00151DFB"/>
    <w:rsid w:val="001524EB"/>
    <w:rsid w:val="00155DA0"/>
    <w:rsid w:val="00155E33"/>
    <w:rsid w:val="00161242"/>
    <w:rsid w:val="0016207B"/>
    <w:rsid w:val="00162D59"/>
    <w:rsid w:val="00162DC2"/>
    <w:rsid w:val="0016324E"/>
    <w:rsid w:val="00163B29"/>
    <w:rsid w:val="001643B1"/>
    <w:rsid w:val="001677A5"/>
    <w:rsid w:val="0017174F"/>
    <w:rsid w:val="00171EBD"/>
    <w:rsid w:val="0017433C"/>
    <w:rsid w:val="00175121"/>
    <w:rsid w:val="00175322"/>
    <w:rsid w:val="0017693A"/>
    <w:rsid w:val="0018028F"/>
    <w:rsid w:val="00180BF4"/>
    <w:rsid w:val="00181970"/>
    <w:rsid w:val="00182787"/>
    <w:rsid w:val="00182A79"/>
    <w:rsid w:val="00191156"/>
    <w:rsid w:val="001930B2"/>
    <w:rsid w:val="00193318"/>
    <w:rsid w:val="00193AA5"/>
    <w:rsid w:val="00194363"/>
    <w:rsid w:val="001953C3"/>
    <w:rsid w:val="00196907"/>
    <w:rsid w:val="00197369"/>
    <w:rsid w:val="001A0772"/>
    <w:rsid w:val="001A07C6"/>
    <w:rsid w:val="001A0B30"/>
    <w:rsid w:val="001A0ECD"/>
    <w:rsid w:val="001A405D"/>
    <w:rsid w:val="001A600B"/>
    <w:rsid w:val="001A6B5B"/>
    <w:rsid w:val="001B1D06"/>
    <w:rsid w:val="001B2238"/>
    <w:rsid w:val="001B2356"/>
    <w:rsid w:val="001B2D60"/>
    <w:rsid w:val="001B4823"/>
    <w:rsid w:val="001B4825"/>
    <w:rsid w:val="001B4A19"/>
    <w:rsid w:val="001B4C61"/>
    <w:rsid w:val="001B4E59"/>
    <w:rsid w:val="001B66C4"/>
    <w:rsid w:val="001C1710"/>
    <w:rsid w:val="001C1B7F"/>
    <w:rsid w:val="001C37B5"/>
    <w:rsid w:val="001C39AA"/>
    <w:rsid w:val="001C4B2F"/>
    <w:rsid w:val="001C5053"/>
    <w:rsid w:val="001C584C"/>
    <w:rsid w:val="001C6D9C"/>
    <w:rsid w:val="001C72B8"/>
    <w:rsid w:val="001D011D"/>
    <w:rsid w:val="001D0D3C"/>
    <w:rsid w:val="001D1C5A"/>
    <w:rsid w:val="001D2D6B"/>
    <w:rsid w:val="001D3B7F"/>
    <w:rsid w:val="001D3E25"/>
    <w:rsid w:val="001D41BA"/>
    <w:rsid w:val="001D51C5"/>
    <w:rsid w:val="001D60CB"/>
    <w:rsid w:val="001D7487"/>
    <w:rsid w:val="001D7E4A"/>
    <w:rsid w:val="001E161A"/>
    <w:rsid w:val="001E218F"/>
    <w:rsid w:val="001E38F8"/>
    <w:rsid w:val="001E4232"/>
    <w:rsid w:val="001E47E5"/>
    <w:rsid w:val="001E56C8"/>
    <w:rsid w:val="001E5C0E"/>
    <w:rsid w:val="001E6BF9"/>
    <w:rsid w:val="001F0519"/>
    <w:rsid w:val="001F07EE"/>
    <w:rsid w:val="001F197C"/>
    <w:rsid w:val="001F2E0B"/>
    <w:rsid w:val="001F3C5F"/>
    <w:rsid w:val="001F4281"/>
    <w:rsid w:val="001F472A"/>
    <w:rsid w:val="001F5330"/>
    <w:rsid w:val="001F638B"/>
    <w:rsid w:val="00200CEB"/>
    <w:rsid w:val="00200E87"/>
    <w:rsid w:val="00201740"/>
    <w:rsid w:val="00203190"/>
    <w:rsid w:val="00203A77"/>
    <w:rsid w:val="0020526A"/>
    <w:rsid w:val="00205FD5"/>
    <w:rsid w:val="002110F5"/>
    <w:rsid w:val="002121DC"/>
    <w:rsid w:val="002124FC"/>
    <w:rsid w:val="00212B5F"/>
    <w:rsid w:val="00212FC1"/>
    <w:rsid w:val="00213A86"/>
    <w:rsid w:val="00213AA1"/>
    <w:rsid w:val="002161A9"/>
    <w:rsid w:val="00216813"/>
    <w:rsid w:val="00217469"/>
    <w:rsid w:val="00217692"/>
    <w:rsid w:val="00220E5B"/>
    <w:rsid w:val="0022230E"/>
    <w:rsid w:val="00222BF2"/>
    <w:rsid w:val="0022302B"/>
    <w:rsid w:val="002235AF"/>
    <w:rsid w:val="00223D73"/>
    <w:rsid w:val="00223E0D"/>
    <w:rsid w:val="00223F77"/>
    <w:rsid w:val="00224A6A"/>
    <w:rsid w:val="00225918"/>
    <w:rsid w:val="00226489"/>
    <w:rsid w:val="002264BD"/>
    <w:rsid w:val="00226E01"/>
    <w:rsid w:val="00227156"/>
    <w:rsid w:val="0022719F"/>
    <w:rsid w:val="00231C85"/>
    <w:rsid w:val="00233E39"/>
    <w:rsid w:val="00234BB9"/>
    <w:rsid w:val="00236BF5"/>
    <w:rsid w:val="002378B7"/>
    <w:rsid w:val="00237D54"/>
    <w:rsid w:val="0024097D"/>
    <w:rsid w:val="002409B2"/>
    <w:rsid w:val="00240C2B"/>
    <w:rsid w:val="00241DC2"/>
    <w:rsid w:val="002459FF"/>
    <w:rsid w:val="00245DA6"/>
    <w:rsid w:val="00246783"/>
    <w:rsid w:val="00246BB7"/>
    <w:rsid w:val="00247F55"/>
    <w:rsid w:val="002501FF"/>
    <w:rsid w:val="00250816"/>
    <w:rsid w:val="00250D1B"/>
    <w:rsid w:val="00250F46"/>
    <w:rsid w:val="00251506"/>
    <w:rsid w:val="00251733"/>
    <w:rsid w:val="00252039"/>
    <w:rsid w:val="00253E8C"/>
    <w:rsid w:val="00256636"/>
    <w:rsid w:val="00256FF3"/>
    <w:rsid w:val="00257412"/>
    <w:rsid w:val="0026088B"/>
    <w:rsid w:val="00262B3C"/>
    <w:rsid w:val="00263916"/>
    <w:rsid w:val="00264172"/>
    <w:rsid w:val="0026481D"/>
    <w:rsid w:val="00264ABD"/>
    <w:rsid w:val="0026568C"/>
    <w:rsid w:val="00265844"/>
    <w:rsid w:val="00266C58"/>
    <w:rsid w:val="002675AB"/>
    <w:rsid w:val="00267F7B"/>
    <w:rsid w:val="00270004"/>
    <w:rsid w:val="0027060A"/>
    <w:rsid w:val="00272230"/>
    <w:rsid w:val="002757F9"/>
    <w:rsid w:val="00276890"/>
    <w:rsid w:val="002808D5"/>
    <w:rsid w:val="00280B32"/>
    <w:rsid w:val="00281842"/>
    <w:rsid w:val="00281B66"/>
    <w:rsid w:val="002833A1"/>
    <w:rsid w:val="0028387E"/>
    <w:rsid w:val="002843CC"/>
    <w:rsid w:val="002850D7"/>
    <w:rsid w:val="00285345"/>
    <w:rsid w:val="002857E8"/>
    <w:rsid w:val="00285F69"/>
    <w:rsid w:val="00286085"/>
    <w:rsid w:val="00287BBF"/>
    <w:rsid w:val="00287D08"/>
    <w:rsid w:val="00291064"/>
    <w:rsid w:val="002914D6"/>
    <w:rsid w:val="00291C5D"/>
    <w:rsid w:val="00291D1E"/>
    <w:rsid w:val="00292488"/>
    <w:rsid w:val="002945D1"/>
    <w:rsid w:val="00295D70"/>
    <w:rsid w:val="00296C32"/>
    <w:rsid w:val="0029709F"/>
    <w:rsid w:val="002A0EDC"/>
    <w:rsid w:val="002A1C64"/>
    <w:rsid w:val="002A3477"/>
    <w:rsid w:val="002A388D"/>
    <w:rsid w:val="002A6D84"/>
    <w:rsid w:val="002B164D"/>
    <w:rsid w:val="002B1C5B"/>
    <w:rsid w:val="002B3C62"/>
    <w:rsid w:val="002B4B50"/>
    <w:rsid w:val="002B4D8A"/>
    <w:rsid w:val="002B508C"/>
    <w:rsid w:val="002B52DE"/>
    <w:rsid w:val="002B6360"/>
    <w:rsid w:val="002B6C59"/>
    <w:rsid w:val="002B75FD"/>
    <w:rsid w:val="002B7B97"/>
    <w:rsid w:val="002C08DE"/>
    <w:rsid w:val="002C099A"/>
    <w:rsid w:val="002C1F5A"/>
    <w:rsid w:val="002C2D74"/>
    <w:rsid w:val="002C3AA2"/>
    <w:rsid w:val="002C4012"/>
    <w:rsid w:val="002C44CB"/>
    <w:rsid w:val="002C4E04"/>
    <w:rsid w:val="002C61AE"/>
    <w:rsid w:val="002C6B4A"/>
    <w:rsid w:val="002C755D"/>
    <w:rsid w:val="002C7A38"/>
    <w:rsid w:val="002D01A4"/>
    <w:rsid w:val="002D0AD3"/>
    <w:rsid w:val="002D0BA7"/>
    <w:rsid w:val="002D3588"/>
    <w:rsid w:val="002D4A4E"/>
    <w:rsid w:val="002D4CAE"/>
    <w:rsid w:val="002D5F69"/>
    <w:rsid w:val="002E1020"/>
    <w:rsid w:val="002E2CB5"/>
    <w:rsid w:val="002E41AD"/>
    <w:rsid w:val="002E44F6"/>
    <w:rsid w:val="002E49AB"/>
    <w:rsid w:val="002E7383"/>
    <w:rsid w:val="002E7551"/>
    <w:rsid w:val="002F0A22"/>
    <w:rsid w:val="002F1626"/>
    <w:rsid w:val="002F1926"/>
    <w:rsid w:val="002F1F56"/>
    <w:rsid w:val="002F31D8"/>
    <w:rsid w:val="002F3445"/>
    <w:rsid w:val="002F4592"/>
    <w:rsid w:val="002F575F"/>
    <w:rsid w:val="002F6115"/>
    <w:rsid w:val="002F6707"/>
    <w:rsid w:val="002F782A"/>
    <w:rsid w:val="002F7B6A"/>
    <w:rsid w:val="0030100B"/>
    <w:rsid w:val="0030568B"/>
    <w:rsid w:val="003101A6"/>
    <w:rsid w:val="003105C2"/>
    <w:rsid w:val="00310C80"/>
    <w:rsid w:val="003141D0"/>
    <w:rsid w:val="00314D71"/>
    <w:rsid w:val="003150EB"/>
    <w:rsid w:val="0031706E"/>
    <w:rsid w:val="003170B6"/>
    <w:rsid w:val="003202EC"/>
    <w:rsid w:val="00320870"/>
    <w:rsid w:val="003215E4"/>
    <w:rsid w:val="00321817"/>
    <w:rsid w:val="00321CD7"/>
    <w:rsid w:val="00321DC1"/>
    <w:rsid w:val="00322550"/>
    <w:rsid w:val="00322B32"/>
    <w:rsid w:val="00323300"/>
    <w:rsid w:val="00323BB3"/>
    <w:rsid w:val="00323BB8"/>
    <w:rsid w:val="00323EE0"/>
    <w:rsid w:val="003242C0"/>
    <w:rsid w:val="00324912"/>
    <w:rsid w:val="00326734"/>
    <w:rsid w:val="00327189"/>
    <w:rsid w:val="0033128C"/>
    <w:rsid w:val="00332D23"/>
    <w:rsid w:val="0033347A"/>
    <w:rsid w:val="00334013"/>
    <w:rsid w:val="003351B9"/>
    <w:rsid w:val="00335D56"/>
    <w:rsid w:val="00336464"/>
    <w:rsid w:val="0033659A"/>
    <w:rsid w:val="0033697B"/>
    <w:rsid w:val="00337A6D"/>
    <w:rsid w:val="00337B5E"/>
    <w:rsid w:val="003404E6"/>
    <w:rsid w:val="00340578"/>
    <w:rsid w:val="00341824"/>
    <w:rsid w:val="0034185F"/>
    <w:rsid w:val="00341B46"/>
    <w:rsid w:val="00342C20"/>
    <w:rsid w:val="0034609A"/>
    <w:rsid w:val="003464CC"/>
    <w:rsid w:val="0034699A"/>
    <w:rsid w:val="003515CA"/>
    <w:rsid w:val="003515F6"/>
    <w:rsid w:val="003530F9"/>
    <w:rsid w:val="00353F75"/>
    <w:rsid w:val="003542F1"/>
    <w:rsid w:val="0035474C"/>
    <w:rsid w:val="00355D6F"/>
    <w:rsid w:val="003568E0"/>
    <w:rsid w:val="0035751B"/>
    <w:rsid w:val="00357C2F"/>
    <w:rsid w:val="00357F41"/>
    <w:rsid w:val="0036075A"/>
    <w:rsid w:val="00362342"/>
    <w:rsid w:val="00363595"/>
    <w:rsid w:val="0036419A"/>
    <w:rsid w:val="00365CB8"/>
    <w:rsid w:val="00366170"/>
    <w:rsid w:val="0036743D"/>
    <w:rsid w:val="00370FF6"/>
    <w:rsid w:val="0037223D"/>
    <w:rsid w:val="0037305B"/>
    <w:rsid w:val="00374624"/>
    <w:rsid w:val="00374C3B"/>
    <w:rsid w:val="00374CF3"/>
    <w:rsid w:val="00375442"/>
    <w:rsid w:val="003757FC"/>
    <w:rsid w:val="0037628A"/>
    <w:rsid w:val="00376CAF"/>
    <w:rsid w:val="0037733F"/>
    <w:rsid w:val="0038038C"/>
    <w:rsid w:val="003804CA"/>
    <w:rsid w:val="003812D8"/>
    <w:rsid w:val="00381658"/>
    <w:rsid w:val="003817B0"/>
    <w:rsid w:val="00382BE5"/>
    <w:rsid w:val="003836D7"/>
    <w:rsid w:val="003842A0"/>
    <w:rsid w:val="00384C2D"/>
    <w:rsid w:val="00386226"/>
    <w:rsid w:val="003905B2"/>
    <w:rsid w:val="0039129D"/>
    <w:rsid w:val="00391BE1"/>
    <w:rsid w:val="00392115"/>
    <w:rsid w:val="003923C2"/>
    <w:rsid w:val="00393F6B"/>
    <w:rsid w:val="00395191"/>
    <w:rsid w:val="00396E55"/>
    <w:rsid w:val="0039709A"/>
    <w:rsid w:val="003A1ED1"/>
    <w:rsid w:val="003A2122"/>
    <w:rsid w:val="003A2D19"/>
    <w:rsid w:val="003A2DA5"/>
    <w:rsid w:val="003A43BD"/>
    <w:rsid w:val="003A46DD"/>
    <w:rsid w:val="003A53D1"/>
    <w:rsid w:val="003A5966"/>
    <w:rsid w:val="003A67A2"/>
    <w:rsid w:val="003B1525"/>
    <w:rsid w:val="003B1914"/>
    <w:rsid w:val="003B43D7"/>
    <w:rsid w:val="003B5641"/>
    <w:rsid w:val="003B7445"/>
    <w:rsid w:val="003C0D4B"/>
    <w:rsid w:val="003C2A0F"/>
    <w:rsid w:val="003C34EB"/>
    <w:rsid w:val="003C4411"/>
    <w:rsid w:val="003C4895"/>
    <w:rsid w:val="003C5A46"/>
    <w:rsid w:val="003C5A62"/>
    <w:rsid w:val="003C628B"/>
    <w:rsid w:val="003C6A31"/>
    <w:rsid w:val="003C6D64"/>
    <w:rsid w:val="003C6FDC"/>
    <w:rsid w:val="003C7D5D"/>
    <w:rsid w:val="003D004F"/>
    <w:rsid w:val="003D0815"/>
    <w:rsid w:val="003D0B2E"/>
    <w:rsid w:val="003D0D7C"/>
    <w:rsid w:val="003D1228"/>
    <w:rsid w:val="003D1911"/>
    <w:rsid w:val="003D2B74"/>
    <w:rsid w:val="003D301F"/>
    <w:rsid w:val="003D3A50"/>
    <w:rsid w:val="003D3B89"/>
    <w:rsid w:val="003D4D90"/>
    <w:rsid w:val="003D50B6"/>
    <w:rsid w:val="003D50B8"/>
    <w:rsid w:val="003D55DE"/>
    <w:rsid w:val="003D6C60"/>
    <w:rsid w:val="003D6D90"/>
    <w:rsid w:val="003D6E44"/>
    <w:rsid w:val="003D7D19"/>
    <w:rsid w:val="003E194D"/>
    <w:rsid w:val="003E25D8"/>
    <w:rsid w:val="003E32AC"/>
    <w:rsid w:val="003E4159"/>
    <w:rsid w:val="003E4318"/>
    <w:rsid w:val="003E46D0"/>
    <w:rsid w:val="003E6A5D"/>
    <w:rsid w:val="003E733D"/>
    <w:rsid w:val="003F025E"/>
    <w:rsid w:val="003F2B25"/>
    <w:rsid w:val="003F2F7B"/>
    <w:rsid w:val="003F3905"/>
    <w:rsid w:val="003F439A"/>
    <w:rsid w:val="003F4940"/>
    <w:rsid w:val="003F4A1A"/>
    <w:rsid w:val="003F4E13"/>
    <w:rsid w:val="003F5127"/>
    <w:rsid w:val="003F734E"/>
    <w:rsid w:val="0040071F"/>
    <w:rsid w:val="00400EEE"/>
    <w:rsid w:val="00403ACA"/>
    <w:rsid w:val="00404368"/>
    <w:rsid w:val="00404867"/>
    <w:rsid w:val="00404ECD"/>
    <w:rsid w:val="0040546E"/>
    <w:rsid w:val="004074D6"/>
    <w:rsid w:val="00407771"/>
    <w:rsid w:val="0041064A"/>
    <w:rsid w:val="0041125A"/>
    <w:rsid w:val="00411FC9"/>
    <w:rsid w:val="004122D5"/>
    <w:rsid w:val="0041281C"/>
    <w:rsid w:val="00414A1C"/>
    <w:rsid w:val="00416B5C"/>
    <w:rsid w:val="00416DF3"/>
    <w:rsid w:val="0042041F"/>
    <w:rsid w:val="00420E1F"/>
    <w:rsid w:val="004213CC"/>
    <w:rsid w:val="00421F1D"/>
    <w:rsid w:val="00422698"/>
    <w:rsid w:val="00422A76"/>
    <w:rsid w:val="00424718"/>
    <w:rsid w:val="00425AD6"/>
    <w:rsid w:val="00425FF5"/>
    <w:rsid w:val="00426157"/>
    <w:rsid w:val="00427B3E"/>
    <w:rsid w:val="00427BE0"/>
    <w:rsid w:val="0043030F"/>
    <w:rsid w:val="004307B4"/>
    <w:rsid w:val="0043272A"/>
    <w:rsid w:val="004340AE"/>
    <w:rsid w:val="004349BD"/>
    <w:rsid w:val="00435E00"/>
    <w:rsid w:val="00437F9D"/>
    <w:rsid w:val="00441439"/>
    <w:rsid w:val="004414BF"/>
    <w:rsid w:val="0044225C"/>
    <w:rsid w:val="00444EA9"/>
    <w:rsid w:val="00445B66"/>
    <w:rsid w:val="00445F84"/>
    <w:rsid w:val="00453E2E"/>
    <w:rsid w:val="00454965"/>
    <w:rsid w:val="00455AB3"/>
    <w:rsid w:val="00455C4D"/>
    <w:rsid w:val="004563C7"/>
    <w:rsid w:val="004563F1"/>
    <w:rsid w:val="00460135"/>
    <w:rsid w:val="00463990"/>
    <w:rsid w:val="004641F2"/>
    <w:rsid w:val="00464F89"/>
    <w:rsid w:val="004651E5"/>
    <w:rsid w:val="004659F0"/>
    <w:rsid w:val="00466454"/>
    <w:rsid w:val="004679B6"/>
    <w:rsid w:val="00470AA9"/>
    <w:rsid w:val="00472BF8"/>
    <w:rsid w:val="00473B1E"/>
    <w:rsid w:val="00473DF7"/>
    <w:rsid w:val="004749D0"/>
    <w:rsid w:val="004759C2"/>
    <w:rsid w:val="00476D61"/>
    <w:rsid w:val="0047710C"/>
    <w:rsid w:val="004801DE"/>
    <w:rsid w:val="00480544"/>
    <w:rsid w:val="004806AF"/>
    <w:rsid w:val="00482503"/>
    <w:rsid w:val="00482573"/>
    <w:rsid w:val="00483EA3"/>
    <w:rsid w:val="0048476A"/>
    <w:rsid w:val="00484868"/>
    <w:rsid w:val="00484BD6"/>
    <w:rsid w:val="00484F52"/>
    <w:rsid w:val="00485963"/>
    <w:rsid w:val="00496321"/>
    <w:rsid w:val="004963D7"/>
    <w:rsid w:val="00496412"/>
    <w:rsid w:val="0049691E"/>
    <w:rsid w:val="0049729F"/>
    <w:rsid w:val="004A3B56"/>
    <w:rsid w:val="004A7E72"/>
    <w:rsid w:val="004B1829"/>
    <w:rsid w:val="004B188D"/>
    <w:rsid w:val="004B208C"/>
    <w:rsid w:val="004B2AEB"/>
    <w:rsid w:val="004B3F41"/>
    <w:rsid w:val="004B48B6"/>
    <w:rsid w:val="004B5731"/>
    <w:rsid w:val="004B57A5"/>
    <w:rsid w:val="004B591F"/>
    <w:rsid w:val="004B779D"/>
    <w:rsid w:val="004B7D5D"/>
    <w:rsid w:val="004C0823"/>
    <w:rsid w:val="004C23CB"/>
    <w:rsid w:val="004C4579"/>
    <w:rsid w:val="004C4B8D"/>
    <w:rsid w:val="004C50D1"/>
    <w:rsid w:val="004C5B44"/>
    <w:rsid w:val="004C6611"/>
    <w:rsid w:val="004C72C2"/>
    <w:rsid w:val="004D1B4E"/>
    <w:rsid w:val="004D395B"/>
    <w:rsid w:val="004D4018"/>
    <w:rsid w:val="004D41B8"/>
    <w:rsid w:val="004D49B6"/>
    <w:rsid w:val="004D55B2"/>
    <w:rsid w:val="004D5C6A"/>
    <w:rsid w:val="004D64C9"/>
    <w:rsid w:val="004D7833"/>
    <w:rsid w:val="004E1180"/>
    <w:rsid w:val="004E1410"/>
    <w:rsid w:val="004E246B"/>
    <w:rsid w:val="004E48B4"/>
    <w:rsid w:val="004E5822"/>
    <w:rsid w:val="004E601D"/>
    <w:rsid w:val="004E64F7"/>
    <w:rsid w:val="004F15CD"/>
    <w:rsid w:val="004F168D"/>
    <w:rsid w:val="004F2370"/>
    <w:rsid w:val="004F2E8E"/>
    <w:rsid w:val="004F303E"/>
    <w:rsid w:val="004F502D"/>
    <w:rsid w:val="004F5523"/>
    <w:rsid w:val="004F74E2"/>
    <w:rsid w:val="004F79D0"/>
    <w:rsid w:val="00500049"/>
    <w:rsid w:val="005025AA"/>
    <w:rsid w:val="00503124"/>
    <w:rsid w:val="005032B8"/>
    <w:rsid w:val="005043D8"/>
    <w:rsid w:val="00510EAE"/>
    <w:rsid w:val="00512453"/>
    <w:rsid w:val="00512824"/>
    <w:rsid w:val="00514DCC"/>
    <w:rsid w:val="00515069"/>
    <w:rsid w:val="00516B5D"/>
    <w:rsid w:val="0051733D"/>
    <w:rsid w:val="00520FE1"/>
    <w:rsid w:val="005211D6"/>
    <w:rsid w:val="0052146B"/>
    <w:rsid w:val="005219B6"/>
    <w:rsid w:val="00523D6E"/>
    <w:rsid w:val="00523EAB"/>
    <w:rsid w:val="00524234"/>
    <w:rsid w:val="00525911"/>
    <w:rsid w:val="00525D5F"/>
    <w:rsid w:val="00525FE4"/>
    <w:rsid w:val="005268AE"/>
    <w:rsid w:val="00526A3B"/>
    <w:rsid w:val="00527F47"/>
    <w:rsid w:val="00532DE7"/>
    <w:rsid w:val="00533365"/>
    <w:rsid w:val="005335B0"/>
    <w:rsid w:val="00534F9D"/>
    <w:rsid w:val="00535467"/>
    <w:rsid w:val="005358AB"/>
    <w:rsid w:val="00536730"/>
    <w:rsid w:val="00536AA1"/>
    <w:rsid w:val="00540C21"/>
    <w:rsid w:val="00542135"/>
    <w:rsid w:val="005427C8"/>
    <w:rsid w:val="0054282E"/>
    <w:rsid w:val="00544B90"/>
    <w:rsid w:val="00544C79"/>
    <w:rsid w:val="0054688C"/>
    <w:rsid w:val="00550AF5"/>
    <w:rsid w:val="00551D3B"/>
    <w:rsid w:val="00552732"/>
    <w:rsid w:val="005527D9"/>
    <w:rsid w:val="005528EE"/>
    <w:rsid w:val="00552A0A"/>
    <w:rsid w:val="005531CD"/>
    <w:rsid w:val="00553248"/>
    <w:rsid w:val="0055365F"/>
    <w:rsid w:val="0055572B"/>
    <w:rsid w:val="00555905"/>
    <w:rsid w:val="005568C8"/>
    <w:rsid w:val="0056174B"/>
    <w:rsid w:val="005623A1"/>
    <w:rsid w:val="005636BE"/>
    <w:rsid w:val="005639D8"/>
    <w:rsid w:val="00564A66"/>
    <w:rsid w:val="005654F7"/>
    <w:rsid w:val="00565F0D"/>
    <w:rsid w:val="00567320"/>
    <w:rsid w:val="00567516"/>
    <w:rsid w:val="0056757E"/>
    <w:rsid w:val="005677D7"/>
    <w:rsid w:val="00567B4F"/>
    <w:rsid w:val="00571B05"/>
    <w:rsid w:val="00572CFC"/>
    <w:rsid w:val="00573F13"/>
    <w:rsid w:val="0057483A"/>
    <w:rsid w:val="00575AB4"/>
    <w:rsid w:val="00575DC6"/>
    <w:rsid w:val="0057740C"/>
    <w:rsid w:val="00580B88"/>
    <w:rsid w:val="00580D30"/>
    <w:rsid w:val="00582BBB"/>
    <w:rsid w:val="00582D97"/>
    <w:rsid w:val="00583237"/>
    <w:rsid w:val="005837AD"/>
    <w:rsid w:val="00584480"/>
    <w:rsid w:val="00584F8F"/>
    <w:rsid w:val="005857A4"/>
    <w:rsid w:val="0058637F"/>
    <w:rsid w:val="005863FC"/>
    <w:rsid w:val="0058748B"/>
    <w:rsid w:val="005878D4"/>
    <w:rsid w:val="00587A7D"/>
    <w:rsid w:val="00590975"/>
    <w:rsid w:val="00590A71"/>
    <w:rsid w:val="00591172"/>
    <w:rsid w:val="005920F2"/>
    <w:rsid w:val="00592833"/>
    <w:rsid w:val="00592B13"/>
    <w:rsid w:val="00592FD6"/>
    <w:rsid w:val="005932D6"/>
    <w:rsid w:val="005946BB"/>
    <w:rsid w:val="005954DE"/>
    <w:rsid w:val="0059581F"/>
    <w:rsid w:val="00595EBC"/>
    <w:rsid w:val="00595FE8"/>
    <w:rsid w:val="0059662A"/>
    <w:rsid w:val="005977E5"/>
    <w:rsid w:val="005A0D61"/>
    <w:rsid w:val="005A10BB"/>
    <w:rsid w:val="005A12E3"/>
    <w:rsid w:val="005A24DF"/>
    <w:rsid w:val="005A45AB"/>
    <w:rsid w:val="005A464A"/>
    <w:rsid w:val="005A4F0C"/>
    <w:rsid w:val="005A53EF"/>
    <w:rsid w:val="005A57C1"/>
    <w:rsid w:val="005A6D90"/>
    <w:rsid w:val="005A6F71"/>
    <w:rsid w:val="005A73CB"/>
    <w:rsid w:val="005A769D"/>
    <w:rsid w:val="005B00A3"/>
    <w:rsid w:val="005B09DB"/>
    <w:rsid w:val="005B0A44"/>
    <w:rsid w:val="005B0FA7"/>
    <w:rsid w:val="005B106D"/>
    <w:rsid w:val="005B10CE"/>
    <w:rsid w:val="005B1587"/>
    <w:rsid w:val="005B1D6B"/>
    <w:rsid w:val="005B41F8"/>
    <w:rsid w:val="005B4F8E"/>
    <w:rsid w:val="005B597E"/>
    <w:rsid w:val="005C132E"/>
    <w:rsid w:val="005C16E4"/>
    <w:rsid w:val="005C2F22"/>
    <w:rsid w:val="005C4F89"/>
    <w:rsid w:val="005C7031"/>
    <w:rsid w:val="005C737E"/>
    <w:rsid w:val="005D0541"/>
    <w:rsid w:val="005D2113"/>
    <w:rsid w:val="005D34A3"/>
    <w:rsid w:val="005D371B"/>
    <w:rsid w:val="005D4811"/>
    <w:rsid w:val="005D5EEB"/>
    <w:rsid w:val="005D652C"/>
    <w:rsid w:val="005D6C5D"/>
    <w:rsid w:val="005D77CB"/>
    <w:rsid w:val="005D7BEF"/>
    <w:rsid w:val="005E08B4"/>
    <w:rsid w:val="005E17A1"/>
    <w:rsid w:val="005E2198"/>
    <w:rsid w:val="005E3E98"/>
    <w:rsid w:val="005E4632"/>
    <w:rsid w:val="005E4E8D"/>
    <w:rsid w:val="005E7457"/>
    <w:rsid w:val="005F015C"/>
    <w:rsid w:val="005F0A89"/>
    <w:rsid w:val="005F0FAE"/>
    <w:rsid w:val="005F1532"/>
    <w:rsid w:val="005F30F3"/>
    <w:rsid w:val="005F3193"/>
    <w:rsid w:val="005F46CF"/>
    <w:rsid w:val="005F51AB"/>
    <w:rsid w:val="005F5244"/>
    <w:rsid w:val="005F5FF2"/>
    <w:rsid w:val="005F695E"/>
    <w:rsid w:val="005F77DF"/>
    <w:rsid w:val="00600031"/>
    <w:rsid w:val="006013E1"/>
    <w:rsid w:val="00601451"/>
    <w:rsid w:val="006021C2"/>
    <w:rsid w:val="00602E82"/>
    <w:rsid w:val="0060307E"/>
    <w:rsid w:val="006033BC"/>
    <w:rsid w:val="00606F2F"/>
    <w:rsid w:val="00607C27"/>
    <w:rsid w:val="006108C5"/>
    <w:rsid w:val="00611AF4"/>
    <w:rsid w:val="00612A34"/>
    <w:rsid w:val="0061363A"/>
    <w:rsid w:val="006138F6"/>
    <w:rsid w:val="00613D9C"/>
    <w:rsid w:val="006141FF"/>
    <w:rsid w:val="00615342"/>
    <w:rsid w:val="006157F8"/>
    <w:rsid w:val="0062092B"/>
    <w:rsid w:val="00623135"/>
    <w:rsid w:val="00624424"/>
    <w:rsid w:val="006263F5"/>
    <w:rsid w:val="00630BB5"/>
    <w:rsid w:val="00630E67"/>
    <w:rsid w:val="00631120"/>
    <w:rsid w:val="00631327"/>
    <w:rsid w:val="006328E6"/>
    <w:rsid w:val="00633995"/>
    <w:rsid w:val="00634142"/>
    <w:rsid w:val="0063488D"/>
    <w:rsid w:val="006349FB"/>
    <w:rsid w:val="00636314"/>
    <w:rsid w:val="00636DCE"/>
    <w:rsid w:val="00637E63"/>
    <w:rsid w:val="00637ED5"/>
    <w:rsid w:val="0064100E"/>
    <w:rsid w:val="00641B18"/>
    <w:rsid w:val="006424B2"/>
    <w:rsid w:val="00642B5B"/>
    <w:rsid w:val="006434BF"/>
    <w:rsid w:val="006435A3"/>
    <w:rsid w:val="00643903"/>
    <w:rsid w:val="0064449F"/>
    <w:rsid w:val="0064457C"/>
    <w:rsid w:val="00644715"/>
    <w:rsid w:val="0064566D"/>
    <w:rsid w:val="00646046"/>
    <w:rsid w:val="0064651B"/>
    <w:rsid w:val="006471A0"/>
    <w:rsid w:val="00647C66"/>
    <w:rsid w:val="00650735"/>
    <w:rsid w:val="00651189"/>
    <w:rsid w:val="0065140B"/>
    <w:rsid w:val="006514C9"/>
    <w:rsid w:val="006529BD"/>
    <w:rsid w:val="00653CF7"/>
    <w:rsid w:val="00653E7E"/>
    <w:rsid w:val="00654622"/>
    <w:rsid w:val="00655BAC"/>
    <w:rsid w:val="00656B8A"/>
    <w:rsid w:val="0066085A"/>
    <w:rsid w:val="0066137F"/>
    <w:rsid w:val="006618FF"/>
    <w:rsid w:val="0066307C"/>
    <w:rsid w:val="006651BE"/>
    <w:rsid w:val="00666E09"/>
    <w:rsid w:val="006706C3"/>
    <w:rsid w:val="00670B09"/>
    <w:rsid w:val="00671AFA"/>
    <w:rsid w:val="00671FE5"/>
    <w:rsid w:val="00672EA9"/>
    <w:rsid w:val="00673055"/>
    <w:rsid w:val="00673735"/>
    <w:rsid w:val="00673E8E"/>
    <w:rsid w:val="00673F90"/>
    <w:rsid w:val="00675CB9"/>
    <w:rsid w:val="00676377"/>
    <w:rsid w:val="006766E8"/>
    <w:rsid w:val="006777EC"/>
    <w:rsid w:val="0068021D"/>
    <w:rsid w:val="006802D2"/>
    <w:rsid w:val="00686107"/>
    <w:rsid w:val="00686A5D"/>
    <w:rsid w:val="006876C3"/>
    <w:rsid w:val="00690B55"/>
    <w:rsid w:val="006915FC"/>
    <w:rsid w:val="00692B04"/>
    <w:rsid w:val="00692BA5"/>
    <w:rsid w:val="0069367A"/>
    <w:rsid w:val="006957AB"/>
    <w:rsid w:val="00696E1B"/>
    <w:rsid w:val="00697FFD"/>
    <w:rsid w:val="006A0542"/>
    <w:rsid w:val="006A1881"/>
    <w:rsid w:val="006A1CFA"/>
    <w:rsid w:val="006A2867"/>
    <w:rsid w:val="006A367A"/>
    <w:rsid w:val="006A5746"/>
    <w:rsid w:val="006A67F4"/>
    <w:rsid w:val="006A68D2"/>
    <w:rsid w:val="006A6BA2"/>
    <w:rsid w:val="006B1334"/>
    <w:rsid w:val="006B153C"/>
    <w:rsid w:val="006B3959"/>
    <w:rsid w:val="006B3E50"/>
    <w:rsid w:val="006B595F"/>
    <w:rsid w:val="006B6961"/>
    <w:rsid w:val="006C0208"/>
    <w:rsid w:val="006C0A44"/>
    <w:rsid w:val="006C1A42"/>
    <w:rsid w:val="006C257A"/>
    <w:rsid w:val="006C2E99"/>
    <w:rsid w:val="006C4C2D"/>
    <w:rsid w:val="006C4C4B"/>
    <w:rsid w:val="006C55E7"/>
    <w:rsid w:val="006C58EC"/>
    <w:rsid w:val="006C5AC4"/>
    <w:rsid w:val="006C5EA8"/>
    <w:rsid w:val="006D1A0F"/>
    <w:rsid w:val="006D1AF8"/>
    <w:rsid w:val="006D3203"/>
    <w:rsid w:val="006D3F9A"/>
    <w:rsid w:val="006D4363"/>
    <w:rsid w:val="006D4FAE"/>
    <w:rsid w:val="006D54AA"/>
    <w:rsid w:val="006D5AF4"/>
    <w:rsid w:val="006D7CF5"/>
    <w:rsid w:val="006E0322"/>
    <w:rsid w:val="006E0E23"/>
    <w:rsid w:val="006E15A6"/>
    <w:rsid w:val="006E1920"/>
    <w:rsid w:val="006E34EE"/>
    <w:rsid w:val="006E399A"/>
    <w:rsid w:val="006F0E5E"/>
    <w:rsid w:val="006F1D7A"/>
    <w:rsid w:val="006F22CC"/>
    <w:rsid w:val="006F250E"/>
    <w:rsid w:val="006F2DAF"/>
    <w:rsid w:val="006F4974"/>
    <w:rsid w:val="006F56DB"/>
    <w:rsid w:val="006F60D0"/>
    <w:rsid w:val="006F6E10"/>
    <w:rsid w:val="006F6F93"/>
    <w:rsid w:val="006F79A2"/>
    <w:rsid w:val="007003DC"/>
    <w:rsid w:val="007012B4"/>
    <w:rsid w:val="00703705"/>
    <w:rsid w:val="00703A38"/>
    <w:rsid w:val="00704CC0"/>
    <w:rsid w:val="00705729"/>
    <w:rsid w:val="00705B78"/>
    <w:rsid w:val="00705F6E"/>
    <w:rsid w:val="0070663B"/>
    <w:rsid w:val="0070698C"/>
    <w:rsid w:val="00706A73"/>
    <w:rsid w:val="00707924"/>
    <w:rsid w:val="00707EF1"/>
    <w:rsid w:val="00707FA2"/>
    <w:rsid w:val="00711162"/>
    <w:rsid w:val="00713903"/>
    <w:rsid w:val="00714695"/>
    <w:rsid w:val="00714CB9"/>
    <w:rsid w:val="007156CD"/>
    <w:rsid w:val="00716C06"/>
    <w:rsid w:val="007177C0"/>
    <w:rsid w:val="007203C3"/>
    <w:rsid w:val="00720943"/>
    <w:rsid w:val="00720B1A"/>
    <w:rsid w:val="00720BB2"/>
    <w:rsid w:val="00720F25"/>
    <w:rsid w:val="00721451"/>
    <w:rsid w:val="00724AB3"/>
    <w:rsid w:val="0072565A"/>
    <w:rsid w:val="00727C4F"/>
    <w:rsid w:val="00730044"/>
    <w:rsid w:val="00730750"/>
    <w:rsid w:val="00731056"/>
    <w:rsid w:val="00731AAF"/>
    <w:rsid w:val="00731B73"/>
    <w:rsid w:val="00731BA2"/>
    <w:rsid w:val="007323CB"/>
    <w:rsid w:val="00732763"/>
    <w:rsid w:val="00733F14"/>
    <w:rsid w:val="0073582E"/>
    <w:rsid w:val="00736057"/>
    <w:rsid w:val="00736877"/>
    <w:rsid w:val="007369F3"/>
    <w:rsid w:val="00736B5F"/>
    <w:rsid w:val="00737422"/>
    <w:rsid w:val="0074004F"/>
    <w:rsid w:val="0074060A"/>
    <w:rsid w:val="00740736"/>
    <w:rsid w:val="007414ED"/>
    <w:rsid w:val="00742751"/>
    <w:rsid w:val="00742B21"/>
    <w:rsid w:val="00742D57"/>
    <w:rsid w:val="007468E4"/>
    <w:rsid w:val="00747F44"/>
    <w:rsid w:val="00750820"/>
    <w:rsid w:val="00751EAB"/>
    <w:rsid w:val="0075234A"/>
    <w:rsid w:val="00752ACF"/>
    <w:rsid w:val="0075350E"/>
    <w:rsid w:val="007546BB"/>
    <w:rsid w:val="0075537A"/>
    <w:rsid w:val="00756F7B"/>
    <w:rsid w:val="007571C0"/>
    <w:rsid w:val="00757A4F"/>
    <w:rsid w:val="00757F00"/>
    <w:rsid w:val="00761994"/>
    <w:rsid w:val="00761A0D"/>
    <w:rsid w:val="00763970"/>
    <w:rsid w:val="00763E45"/>
    <w:rsid w:val="007649AE"/>
    <w:rsid w:val="00764CA7"/>
    <w:rsid w:val="007655F4"/>
    <w:rsid w:val="00765BC4"/>
    <w:rsid w:val="00766466"/>
    <w:rsid w:val="007671B7"/>
    <w:rsid w:val="007702D7"/>
    <w:rsid w:val="00770F30"/>
    <w:rsid w:val="00772027"/>
    <w:rsid w:val="00772D22"/>
    <w:rsid w:val="007744D4"/>
    <w:rsid w:val="00774A85"/>
    <w:rsid w:val="00775629"/>
    <w:rsid w:val="00775A88"/>
    <w:rsid w:val="007764E8"/>
    <w:rsid w:val="00777588"/>
    <w:rsid w:val="00777AB7"/>
    <w:rsid w:val="00777B7D"/>
    <w:rsid w:val="00777BD6"/>
    <w:rsid w:val="0078060B"/>
    <w:rsid w:val="007808E0"/>
    <w:rsid w:val="00783010"/>
    <w:rsid w:val="00783286"/>
    <w:rsid w:val="0078412F"/>
    <w:rsid w:val="0078595A"/>
    <w:rsid w:val="00786236"/>
    <w:rsid w:val="0078758D"/>
    <w:rsid w:val="00787667"/>
    <w:rsid w:val="007879AD"/>
    <w:rsid w:val="00790165"/>
    <w:rsid w:val="007910AE"/>
    <w:rsid w:val="007922F8"/>
    <w:rsid w:val="00793987"/>
    <w:rsid w:val="007942F6"/>
    <w:rsid w:val="007945D3"/>
    <w:rsid w:val="00795B00"/>
    <w:rsid w:val="007965F7"/>
    <w:rsid w:val="007A1C72"/>
    <w:rsid w:val="007A21EF"/>
    <w:rsid w:val="007A22FB"/>
    <w:rsid w:val="007A233E"/>
    <w:rsid w:val="007A2960"/>
    <w:rsid w:val="007A29C0"/>
    <w:rsid w:val="007A30AE"/>
    <w:rsid w:val="007A3FC5"/>
    <w:rsid w:val="007A49C6"/>
    <w:rsid w:val="007A54E7"/>
    <w:rsid w:val="007A5A4C"/>
    <w:rsid w:val="007B054C"/>
    <w:rsid w:val="007B0B47"/>
    <w:rsid w:val="007B3F53"/>
    <w:rsid w:val="007B46A6"/>
    <w:rsid w:val="007B4E39"/>
    <w:rsid w:val="007B5BD3"/>
    <w:rsid w:val="007B630C"/>
    <w:rsid w:val="007B6407"/>
    <w:rsid w:val="007B714F"/>
    <w:rsid w:val="007B773F"/>
    <w:rsid w:val="007C0087"/>
    <w:rsid w:val="007C1365"/>
    <w:rsid w:val="007C18F7"/>
    <w:rsid w:val="007C2689"/>
    <w:rsid w:val="007C2C84"/>
    <w:rsid w:val="007C387A"/>
    <w:rsid w:val="007C3B40"/>
    <w:rsid w:val="007C3CF1"/>
    <w:rsid w:val="007C4233"/>
    <w:rsid w:val="007C4BEC"/>
    <w:rsid w:val="007C706E"/>
    <w:rsid w:val="007C7B57"/>
    <w:rsid w:val="007D0A74"/>
    <w:rsid w:val="007D0B8E"/>
    <w:rsid w:val="007D169C"/>
    <w:rsid w:val="007D19C5"/>
    <w:rsid w:val="007D2394"/>
    <w:rsid w:val="007D240F"/>
    <w:rsid w:val="007D2444"/>
    <w:rsid w:val="007D3742"/>
    <w:rsid w:val="007D3933"/>
    <w:rsid w:val="007D5DBA"/>
    <w:rsid w:val="007D6F3B"/>
    <w:rsid w:val="007D7139"/>
    <w:rsid w:val="007E07C5"/>
    <w:rsid w:val="007E0C93"/>
    <w:rsid w:val="007E1C3C"/>
    <w:rsid w:val="007E1D15"/>
    <w:rsid w:val="007E22E5"/>
    <w:rsid w:val="007E279F"/>
    <w:rsid w:val="007E42E3"/>
    <w:rsid w:val="007E45A7"/>
    <w:rsid w:val="007E49AD"/>
    <w:rsid w:val="007E61D1"/>
    <w:rsid w:val="007E63D3"/>
    <w:rsid w:val="007F2973"/>
    <w:rsid w:val="007F2A19"/>
    <w:rsid w:val="007F2AB2"/>
    <w:rsid w:val="007F2E97"/>
    <w:rsid w:val="007F57E0"/>
    <w:rsid w:val="007F6825"/>
    <w:rsid w:val="007F708E"/>
    <w:rsid w:val="007F714A"/>
    <w:rsid w:val="007F76C5"/>
    <w:rsid w:val="00800317"/>
    <w:rsid w:val="008007D8"/>
    <w:rsid w:val="00800E3C"/>
    <w:rsid w:val="008034A3"/>
    <w:rsid w:val="00803866"/>
    <w:rsid w:val="00803C4E"/>
    <w:rsid w:val="00805BE2"/>
    <w:rsid w:val="00805D0A"/>
    <w:rsid w:val="0080665F"/>
    <w:rsid w:val="00807633"/>
    <w:rsid w:val="00810F97"/>
    <w:rsid w:val="008112AE"/>
    <w:rsid w:val="008113E8"/>
    <w:rsid w:val="0081184E"/>
    <w:rsid w:val="008147CE"/>
    <w:rsid w:val="00817294"/>
    <w:rsid w:val="0081798F"/>
    <w:rsid w:val="00817C07"/>
    <w:rsid w:val="00817D18"/>
    <w:rsid w:val="00817D3F"/>
    <w:rsid w:val="00820C7A"/>
    <w:rsid w:val="00820CDA"/>
    <w:rsid w:val="00820F4C"/>
    <w:rsid w:val="008214E1"/>
    <w:rsid w:val="00821843"/>
    <w:rsid w:val="00821B91"/>
    <w:rsid w:val="00826004"/>
    <w:rsid w:val="00827148"/>
    <w:rsid w:val="00827895"/>
    <w:rsid w:val="00832950"/>
    <w:rsid w:val="00832A97"/>
    <w:rsid w:val="00833224"/>
    <w:rsid w:val="0083438B"/>
    <w:rsid w:val="00834AC7"/>
    <w:rsid w:val="00834D54"/>
    <w:rsid w:val="0083686B"/>
    <w:rsid w:val="00836B3E"/>
    <w:rsid w:val="00837AAA"/>
    <w:rsid w:val="00841639"/>
    <w:rsid w:val="00842521"/>
    <w:rsid w:val="008426ED"/>
    <w:rsid w:val="008434B7"/>
    <w:rsid w:val="008439FA"/>
    <w:rsid w:val="00843CA3"/>
    <w:rsid w:val="008445AC"/>
    <w:rsid w:val="0084477E"/>
    <w:rsid w:val="008451C3"/>
    <w:rsid w:val="008457F3"/>
    <w:rsid w:val="00845B4A"/>
    <w:rsid w:val="00845BD7"/>
    <w:rsid w:val="008465D7"/>
    <w:rsid w:val="008503C1"/>
    <w:rsid w:val="00850B41"/>
    <w:rsid w:val="008512EB"/>
    <w:rsid w:val="00851748"/>
    <w:rsid w:val="00852325"/>
    <w:rsid w:val="00852790"/>
    <w:rsid w:val="00852AE1"/>
    <w:rsid w:val="008538C1"/>
    <w:rsid w:val="00855311"/>
    <w:rsid w:val="00861D73"/>
    <w:rsid w:val="00861DD1"/>
    <w:rsid w:val="00862CD1"/>
    <w:rsid w:val="00863657"/>
    <w:rsid w:val="00863768"/>
    <w:rsid w:val="0086451F"/>
    <w:rsid w:val="00865545"/>
    <w:rsid w:val="008667A4"/>
    <w:rsid w:val="00870434"/>
    <w:rsid w:val="00871FC1"/>
    <w:rsid w:val="008726EE"/>
    <w:rsid w:val="00876157"/>
    <w:rsid w:val="00876747"/>
    <w:rsid w:val="00876B43"/>
    <w:rsid w:val="0087725C"/>
    <w:rsid w:val="008773C2"/>
    <w:rsid w:val="00877CBB"/>
    <w:rsid w:val="008817CE"/>
    <w:rsid w:val="008817E2"/>
    <w:rsid w:val="008835E9"/>
    <w:rsid w:val="00883CD8"/>
    <w:rsid w:val="008841EB"/>
    <w:rsid w:val="0088498C"/>
    <w:rsid w:val="008858D9"/>
    <w:rsid w:val="008860B5"/>
    <w:rsid w:val="00886F92"/>
    <w:rsid w:val="008909DF"/>
    <w:rsid w:val="00891EAD"/>
    <w:rsid w:val="00892798"/>
    <w:rsid w:val="00892844"/>
    <w:rsid w:val="00894385"/>
    <w:rsid w:val="008954CB"/>
    <w:rsid w:val="008961A3"/>
    <w:rsid w:val="00897ACA"/>
    <w:rsid w:val="008A09FA"/>
    <w:rsid w:val="008A1529"/>
    <w:rsid w:val="008A2902"/>
    <w:rsid w:val="008A3EBE"/>
    <w:rsid w:val="008A5597"/>
    <w:rsid w:val="008A5AED"/>
    <w:rsid w:val="008A5D10"/>
    <w:rsid w:val="008A734D"/>
    <w:rsid w:val="008A7FCD"/>
    <w:rsid w:val="008B03B6"/>
    <w:rsid w:val="008B0EF6"/>
    <w:rsid w:val="008B2682"/>
    <w:rsid w:val="008B2A92"/>
    <w:rsid w:val="008B3390"/>
    <w:rsid w:val="008B3C8E"/>
    <w:rsid w:val="008B3F1C"/>
    <w:rsid w:val="008B41CD"/>
    <w:rsid w:val="008B5E5D"/>
    <w:rsid w:val="008B64A7"/>
    <w:rsid w:val="008B6A57"/>
    <w:rsid w:val="008B7C59"/>
    <w:rsid w:val="008C11A1"/>
    <w:rsid w:val="008C15F4"/>
    <w:rsid w:val="008C485B"/>
    <w:rsid w:val="008C4A83"/>
    <w:rsid w:val="008C5404"/>
    <w:rsid w:val="008C736C"/>
    <w:rsid w:val="008D07F7"/>
    <w:rsid w:val="008D0958"/>
    <w:rsid w:val="008D09D9"/>
    <w:rsid w:val="008D0E95"/>
    <w:rsid w:val="008D0FD8"/>
    <w:rsid w:val="008D127E"/>
    <w:rsid w:val="008D4CDE"/>
    <w:rsid w:val="008D58EE"/>
    <w:rsid w:val="008D6FF9"/>
    <w:rsid w:val="008D70A0"/>
    <w:rsid w:val="008D7466"/>
    <w:rsid w:val="008D74ED"/>
    <w:rsid w:val="008E1012"/>
    <w:rsid w:val="008E1336"/>
    <w:rsid w:val="008E1BFC"/>
    <w:rsid w:val="008E3AD9"/>
    <w:rsid w:val="008E4877"/>
    <w:rsid w:val="008E67FE"/>
    <w:rsid w:val="008E77C9"/>
    <w:rsid w:val="008F0150"/>
    <w:rsid w:val="008F1745"/>
    <w:rsid w:val="008F211D"/>
    <w:rsid w:val="008F24C5"/>
    <w:rsid w:val="008F2B5C"/>
    <w:rsid w:val="008F399B"/>
    <w:rsid w:val="008F4C1E"/>
    <w:rsid w:val="008F4CD1"/>
    <w:rsid w:val="008F509E"/>
    <w:rsid w:val="008F6A7F"/>
    <w:rsid w:val="008F6B83"/>
    <w:rsid w:val="008F7115"/>
    <w:rsid w:val="008F753D"/>
    <w:rsid w:val="008F7742"/>
    <w:rsid w:val="008F77BD"/>
    <w:rsid w:val="00901381"/>
    <w:rsid w:val="00901DEE"/>
    <w:rsid w:val="0090580B"/>
    <w:rsid w:val="00912B67"/>
    <w:rsid w:val="00915533"/>
    <w:rsid w:val="009218C3"/>
    <w:rsid w:val="009233EF"/>
    <w:rsid w:val="0092357F"/>
    <w:rsid w:val="009249AA"/>
    <w:rsid w:val="00925B05"/>
    <w:rsid w:val="00931767"/>
    <w:rsid w:val="00931FF3"/>
    <w:rsid w:val="0093310A"/>
    <w:rsid w:val="00933B2B"/>
    <w:rsid w:val="00935435"/>
    <w:rsid w:val="009359CD"/>
    <w:rsid w:val="00936763"/>
    <w:rsid w:val="00936F2C"/>
    <w:rsid w:val="00937615"/>
    <w:rsid w:val="009403FB"/>
    <w:rsid w:val="00940C8F"/>
    <w:rsid w:val="00941D35"/>
    <w:rsid w:val="0094295F"/>
    <w:rsid w:val="009447E1"/>
    <w:rsid w:val="00944FC6"/>
    <w:rsid w:val="009456CE"/>
    <w:rsid w:val="0094643E"/>
    <w:rsid w:val="009467F8"/>
    <w:rsid w:val="00951857"/>
    <w:rsid w:val="009518DA"/>
    <w:rsid w:val="00952747"/>
    <w:rsid w:val="0095296F"/>
    <w:rsid w:val="009531BB"/>
    <w:rsid w:val="00953B3C"/>
    <w:rsid w:val="00953F2D"/>
    <w:rsid w:val="00954D67"/>
    <w:rsid w:val="00954EA9"/>
    <w:rsid w:val="00955DF7"/>
    <w:rsid w:val="00956901"/>
    <w:rsid w:val="0095690A"/>
    <w:rsid w:val="0095694C"/>
    <w:rsid w:val="009571C4"/>
    <w:rsid w:val="00957FDD"/>
    <w:rsid w:val="00960E14"/>
    <w:rsid w:val="00961336"/>
    <w:rsid w:val="0096215F"/>
    <w:rsid w:val="00962D33"/>
    <w:rsid w:val="00962FFB"/>
    <w:rsid w:val="009641D4"/>
    <w:rsid w:val="00964252"/>
    <w:rsid w:val="0096633D"/>
    <w:rsid w:val="00966428"/>
    <w:rsid w:val="00966DB3"/>
    <w:rsid w:val="00967DCA"/>
    <w:rsid w:val="00971F26"/>
    <w:rsid w:val="0097242F"/>
    <w:rsid w:val="00972CA5"/>
    <w:rsid w:val="00972EB3"/>
    <w:rsid w:val="0097350F"/>
    <w:rsid w:val="00973A4E"/>
    <w:rsid w:val="00973FE4"/>
    <w:rsid w:val="00974F6B"/>
    <w:rsid w:val="00975294"/>
    <w:rsid w:val="00976413"/>
    <w:rsid w:val="00977DC4"/>
    <w:rsid w:val="00980223"/>
    <w:rsid w:val="009810F1"/>
    <w:rsid w:val="009811CB"/>
    <w:rsid w:val="00981D99"/>
    <w:rsid w:val="00982AAE"/>
    <w:rsid w:val="00982EFC"/>
    <w:rsid w:val="00983706"/>
    <w:rsid w:val="00984C94"/>
    <w:rsid w:val="00984F4A"/>
    <w:rsid w:val="009872DF"/>
    <w:rsid w:val="00987DDA"/>
    <w:rsid w:val="0099051B"/>
    <w:rsid w:val="00990CAB"/>
    <w:rsid w:val="0099165A"/>
    <w:rsid w:val="00991BEE"/>
    <w:rsid w:val="00992D0C"/>
    <w:rsid w:val="00993509"/>
    <w:rsid w:val="00995357"/>
    <w:rsid w:val="00996300"/>
    <w:rsid w:val="00996BC6"/>
    <w:rsid w:val="009972AF"/>
    <w:rsid w:val="009A037B"/>
    <w:rsid w:val="009A4E8C"/>
    <w:rsid w:val="009A6670"/>
    <w:rsid w:val="009A7A8E"/>
    <w:rsid w:val="009A7C9C"/>
    <w:rsid w:val="009A7E73"/>
    <w:rsid w:val="009B1FFC"/>
    <w:rsid w:val="009B2CB6"/>
    <w:rsid w:val="009B3E36"/>
    <w:rsid w:val="009B5C6A"/>
    <w:rsid w:val="009B6BE9"/>
    <w:rsid w:val="009B6DCE"/>
    <w:rsid w:val="009B6FF4"/>
    <w:rsid w:val="009C0F79"/>
    <w:rsid w:val="009C0FD6"/>
    <w:rsid w:val="009C1018"/>
    <w:rsid w:val="009C1491"/>
    <w:rsid w:val="009C28A6"/>
    <w:rsid w:val="009C310E"/>
    <w:rsid w:val="009C317D"/>
    <w:rsid w:val="009C32F1"/>
    <w:rsid w:val="009C3E00"/>
    <w:rsid w:val="009C3F42"/>
    <w:rsid w:val="009C4641"/>
    <w:rsid w:val="009C567F"/>
    <w:rsid w:val="009C74DD"/>
    <w:rsid w:val="009D2CE4"/>
    <w:rsid w:val="009D333F"/>
    <w:rsid w:val="009D3438"/>
    <w:rsid w:val="009D5510"/>
    <w:rsid w:val="009D5EBE"/>
    <w:rsid w:val="009D60B2"/>
    <w:rsid w:val="009D6E79"/>
    <w:rsid w:val="009E0F58"/>
    <w:rsid w:val="009E15E3"/>
    <w:rsid w:val="009E316A"/>
    <w:rsid w:val="009E32CA"/>
    <w:rsid w:val="009E43A1"/>
    <w:rsid w:val="009E4EF0"/>
    <w:rsid w:val="009E575E"/>
    <w:rsid w:val="009E5B66"/>
    <w:rsid w:val="009E5B94"/>
    <w:rsid w:val="009F0C27"/>
    <w:rsid w:val="009F1620"/>
    <w:rsid w:val="009F25CC"/>
    <w:rsid w:val="009F4031"/>
    <w:rsid w:val="009F456E"/>
    <w:rsid w:val="009F4ACD"/>
    <w:rsid w:val="009F6221"/>
    <w:rsid w:val="009F6B5B"/>
    <w:rsid w:val="009F77E6"/>
    <w:rsid w:val="00A00BC0"/>
    <w:rsid w:val="00A00D49"/>
    <w:rsid w:val="00A02235"/>
    <w:rsid w:val="00A023A5"/>
    <w:rsid w:val="00A04CDB"/>
    <w:rsid w:val="00A0516A"/>
    <w:rsid w:val="00A06200"/>
    <w:rsid w:val="00A0650B"/>
    <w:rsid w:val="00A0795D"/>
    <w:rsid w:val="00A1008F"/>
    <w:rsid w:val="00A106F8"/>
    <w:rsid w:val="00A10DF6"/>
    <w:rsid w:val="00A115B6"/>
    <w:rsid w:val="00A13932"/>
    <w:rsid w:val="00A143BA"/>
    <w:rsid w:val="00A160E5"/>
    <w:rsid w:val="00A1697B"/>
    <w:rsid w:val="00A21B54"/>
    <w:rsid w:val="00A23C1E"/>
    <w:rsid w:val="00A248E0"/>
    <w:rsid w:val="00A24C0B"/>
    <w:rsid w:val="00A253C5"/>
    <w:rsid w:val="00A2581E"/>
    <w:rsid w:val="00A26978"/>
    <w:rsid w:val="00A26C22"/>
    <w:rsid w:val="00A27349"/>
    <w:rsid w:val="00A274CC"/>
    <w:rsid w:val="00A31B49"/>
    <w:rsid w:val="00A32DE5"/>
    <w:rsid w:val="00A34F88"/>
    <w:rsid w:val="00A35B01"/>
    <w:rsid w:val="00A371AD"/>
    <w:rsid w:val="00A37CE3"/>
    <w:rsid w:val="00A42D53"/>
    <w:rsid w:val="00A4312B"/>
    <w:rsid w:val="00A43401"/>
    <w:rsid w:val="00A435F2"/>
    <w:rsid w:val="00A441E8"/>
    <w:rsid w:val="00A442C1"/>
    <w:rsid w:val="00A44368"/>
    <w:rsid w:val="00A45943"/>
    <w:rsid w:val="00A45C2B"/>
    <w:rsid w:val="00A45FEE"/>
    <w:rsid w:val="00A46061"/>
    <w:rsid w:val="00A460B4"/>
    <w:rsid w:val="00A47AF8"/>
    <w:rsid w:val="00A500E5"/>
    <w:rsid w:val="00A50434"/>
    <w:rsid w:val="00A50EDA"/>
    <w:rsid w:val="00A5113E"/>
    <w:rsid w:val="00A51CA2"/>
    <w:rsid w:val="00A5285A"/>
    <w:rsid w:val="00A53008"/>
    <w:rsid w:val="00A5427E"/>
    <w:rsid w:val="00A557EA"/>
    <w:rsid w:val="00A567AE"/>
    <w:rsid w:val="00A57270"/>
    <w:rsid w:val="00A579D8"/>
    <w:rsid w:val="00A57E08"/>
    <w:rsid w:val="00A6092C"/>
    <w:rsid w:val="00A6168A"/>
    <w:rsid w:val="00A628F7"/>
    <w:rsid w:val="00A63161"/>
    <w:rsid w:val="00A63ED8"/>
    <w:rsid w:val="00A64BD7"/>
    <w:rsid w:val="00A66944"/>
    <w:rsid w:val="00A66B6B"/>
    <w:rsid w:val="00A675CB"/>
    <w:rsid w:val="00A679D7"/>
    <w:rsid w:val="00A70367"/>
    <w:rsid w:val="00A704A3"/>
    <w:rsid w:val="00A7287F"/>
    <w:rsid w:val="00A72C20"/>
    <w:rsid w:val="00A72D9A"/>
    <w:rsid w:val="00A7476A"/>
    <w:rsid w:val="00A75643"/>
    <w:rsid w:val="00A759C4"/>
    <w:rsid w:val="00A75BE6"/>
    <w:rsid w:val="00A76756"/>
    <w:rsid w:val="00A76F87"/>
    <w:rsid w:val="00A82A35"/>
    <w:rsid w:val="00A8343D"/>
    <w:rsid w:val="00A84FBD"/>
    <w:rsid w:val="00A8507C"/>
    <w:rsid w:val="00A85AB9"/>
    <w:rsid w:val="00A87293"/>
    <w:rsid w:val="00A91948"/>
    <w:rsid w:val="00A920BD"/>
    <w:rsid w:val="00A92B7F"/>
    <w:rsid w:val="00A92C9E"/>
    <w:rsid w:val="00A94733"/>
    <w:rsid w:val="00A9492C"/>
    <w:rsid w:val="00A959A3"/>
    <w:rsid w:val="00A95D7A"/>
    <w:rsid w:val="00A96476"/>
    <w:rsid w:val="00A968C4"/>
    <w:rsid w:val="00A97D56"/>
    <w:rsid w:val="00AA0B3F"/>
    <w:rsid w:val="00AA0C3A"/>
    <w:rsid w:val="00AA1825"/>
    <w:rsid w:val="00AA2013"/>
    <w:rsid w:val="00AA2702"/>
    <w:rsid w:val="00AA45B8"/>
    <w:rsid w:val="00AA4E81"/>
    <w:rsid w:val="00AA5988"/>
    <w:rsid w:val="00AA6035"/>
    <w:rsid w:val="00AA6269"/>
    <w:rsid w:val="00AA6567"/>
    <w:rsid w:val="00AA6730"/>
    <w:rsid w:val="00AA6B0F"/>
    <w:rsid w:val="00AA6FEE"/>
    <w:rsid w:val="00AB00FA"/>
    <w:rsid w:val="00AB0F19"/>
    <w:rsid w:val="00AB109F"/>
    <w:rsid w:val="00AB1F11"/>
    <w:rsid w:val="00AB2686"/>
    <w:rsid w:val="00AB5B41"/>
    <w:rsid w:val="00AB5F83"/>
    <w:rsid w:val="00AB695C"/>
    <w:rsid w:val="00AB7474"/>
    <w:rsid w:val="00AC04B4"/>
    <w:rsid w:val="00AC1C2A"/>
    <w:rsid w:val="00AC26CB"/>
    <w:rsid w:val="00AC2F39"/>
    <w:rsid w:val="00AC3256"/>
    <w:rsid w:val="00AC32D8"/>
    <w:rsid w:val="00AC34F5"/>
    <w:rsid w:val="00AC3A5F"/>
    <w:rsid w:val="00AC3D63"/>
    <w:rsid w:val="00AC3E35"/>
    <w:rsid w:val="00AC59F3"/>
    <w:rsid w:val="00AC6C6A"/>
    <w:rsid w:val="00AC76AC"/>
    <w:rsid w:val="00AD0C5D"/>
    <w:rsid w:val="00AD2116"/>
    <w:rsid w:val="00AD21E7"/>
    <w:rsid w:val="00AD2AC3"/>
    <w:rsid w:val="00AD3E53"/>
    <w:rsid w:val="00AD4A20"/>
    <w:rsid w:val="00AD63B5"/>
    <w:rsid w:val="00AD729F"/>
    <w:rsid w:val="00AD7BB8"/>
    <w:rsid w:val="00AE1230"/>
    <w:rsid w:val="00AE274B"/>
    <w:rsid w:val="00AE379F"/>
    <w:rsid w:val="00AE37BD"/>
    <w:rsid w:val="00AE3D11"/>
    <w:rsid w:val="00AE460A"/>
    <w:rsid w:val="00AE4B70"/>
    <w:rsid w:val="00AE4EB8"/>
    <w:rsid w:val="00AE5C86"/>
    <w:rsid w:val="00AE687D"/>
    <w:rsid w:val="00AE76C9"/>
    <w:rsid w:val="00AE7CD5"/>
    <w:rsid w:val="00AE7F76"/>
    <w:rsid w:val="00AF0A0F"/>
    <w:rsid w:val="00AF45EA"/>
    <w:rsid w:val="00AF48BD"/>
    <w:rsid w:val="00AF4C5C"/>
    <w:rsid w:val="00AF6529"/>
    <w:rsid w:val="00AF71BB"/>
    <w:rsid w:val="00AF7487"/>
    <w:rsid w:val="00B016B4"/>
    <w:rsid w:val="00B01D54"/>
    <w:rsid w:val="00B0630B"/>
    <w:rsid w:val="00B07179"/>
    <w:rsid w:val="00B0768E"/>
    <w:rsid w:val="00B07B28"/>
    <w:rsid w:val="00B10C3A"/>
    <w:rsid w:val="00B11203"/>
    <w:rsid w:val="00B11B63"/>
    <w:rsid w:val="00B13901"/>
    <w:rsid w:val="00B15696"/>
    <w:rsid w:val="00B1590B"/>
    <w:rsid w:val="00B15AA3"/>
    <w:rsid w:val="00B16C63"/>
    <w:rsid w:val="00B16EAE"/>
    <w:rsid w:val="00B17D6A"/>
    <w:rsid w:val="00B219C7"/>
    <w:rsid w:val="00B22265"/>
    <w:rsid w:val="00B2354C"/>
    <w:rsid w:val="00B240C6"/>
    <w:rsid w:val="00B256FD"/>
    <w:rsid w:val="00B26082"/>
    <w:rsid w:val="00B3023B"/>
    <w:rsid w:val="00B30A2E"/>
    <w:rsid w:val="00B30AF9"/>
    <w:rsid w:val="00B32A44"/>
    <w:rsid w:val="00B33EDB"/>
    <w:rsid w:val="00B34500"/>
    <w:rsid w:val="00B35C56"/>
    <w:rsid w:val="00B35EEC"/>
    <w:rsid w:val="00B374B3"/>
    <w:rsid w:val="00B37822"/>
    <w:rsid w:val="00B409B3"/>
    <w:rsid w:val="00B41761"/>
    <w:rsid w:val="00B449B2"/>
    <w:rsid w:val="00B457BA"/>
    <w:rsid w:val="00B46420"/>
    <w:rsid w:val="00B4665F"/>
    <w:rsid w:val="00B50E74"/>
    <w:rsid w:val="00B521E8"/>
    <w:rsid w:val="00B53244"/>
    <w:rsid w:val="00B53C6F"/>
    <w:rsid w:val="00B53FA4"/>
    <w:rsid w:val="00B5495F"/>
    <w:rsid w:val="00B552CD"/>
    <w:rsid w:val="00B55395"/>
    <w:rsid w:val="00B55443"/>
    <w:rsid w:val="00B5632B"/>
    <w:rsid w:val="00B56768"/>
    <w:rsid w:val="00B56C0A"/>
    <w:rsid w:val="00B60BFC"/>
    <w:rsid w:val="00B61A9C"/>
    <w:rsid w:val="00B6236E"/>
    <w:rsid w:val="00B62D95"/>
    <w:rsid w:val="00B631D1"/>
    <w:rsid w:val="00B639B9"/>
    <w:rsid w:val="00B640F7"/>
    <w:rsid w:val="00B6444D"/>
    <w:rsid w:val="00B6495F"/>
    <w:rsid w:val="00B64C6A"/>
    <w:rsid w:val="00B65754"/>
    <w:rsid w:val="00B66285"/>
    <w:rsid w:val="00B66F8F"/>
    <w:rsid w:val="00B67400"/>
    <w:rsid w:val="00B67CA7"/>
    <w:rsid w:val="00B707E3"/>
    <w:rsid w:val="00B71C5E"/>
    <w:rsid w:val="00B729F2"/>
    <w:rsid w:val="00B72CF8"/>
    <w:rsid w:val="00B737E1"/>
    <w:rsid w:val="00B746A2"/>
    <w:rsid w:val="00B7543E"/>
    <w:rsid w:val="00B757C1"/>
    <w:rsid w:val="00B7697A"/>
    <w:rsid w:val="00B77C52"/>
    <w:rsid w:val="00B77D6A"/>
    <w:rsid w:val="00B82C06"/>
    <w:rsid w:val="00B83A68"/>
    <w:rsid w:val="00B83A95"/>
    <w:rsid w:val="00B83D7B"/>
    <w:rsid w:val="00B845B1"/>
    <w:rsid w:val="00B86CC4"/>
    <w:rsid w:val="00B87E67"/>
    <w:rsid w:val="00B90AF2"/>
    <w:rsid w:val="00B92240"/>
    <w:rsid w:val="00B9293A"/>
    <w:rsid w:val="00B92C0A"/>
    <w:rsid w:val="00B92C97"/>
    <w:rsid w:val="00B94C6E"/>
    <w:rsid w:val="00B95730"/>
    <w:rsid w:val="00B95BFB"/>
    <w:rsid w:val="00B95E96"/>
    <w:rsid w:val="00B9635E"/>
    <w:rsid w:val="00B977A8"/>
    <w:rsid w:val="00BA1E87"/>
    <w:rsid w:val="00BA20DF"/>
    <w:rsid w:val="00BA3A13"/>
    <w:rsid w:val="00BA44EE"/>
    <w:rsid w:val="00BA7579"/>
    <w:rsid w:val="00BA7D78"/>
    <w:rsid w:val="00BB03CC"/>
    <w:rsid w:val="00BB146A"/>
    <w:rsid w:val="00BB2A53"/>
    <w:rsid w:val="00BB2C15"/>
    <w:rsid w:val="00BB56BA"/>
    <w:rsid w:val="00BB5917"/>
    <w:rsid w:val="00BB5EEE"/>
    <w:rsid w:val="00BB642A"/>
    <w:rsid w:val="00BB6F57"/>
    <w:rsid w:val="00BC0849"/>
    <w:rsid w:val="00BC08FE"/>
    <w:rsid w:val="00BC2F3B"/>
    <w:rsid w:val="00BC38FC"/>
    <w:rsid w:val="00BC3C50"/>
    <w:rsid w:val="00BC438B"/>
    <w:rsid w:val="00BC5829"/>
    <w:rsid w:val="00BC6702"/>
    <w:rsid w:val="00BC7A5B"/>
    <w:rsid w:val="00BD12B6"/>
    <w:rsid w:val="00BD20A6"/>
    <w:rsid w:val="00BD2FBC"/>
    <w:rsid w:val="00BD37F6"/>
    <w:rsid w:val="00BD390F"/>
    <w:rsid w:val="00BD457B"/>
    <w:rsid w:val="00BD4628"/>
    <w:rsid w:val="00BD6BE0"/>
    <w:rsid w:val="00BE0AFF"/>
    <w:rsid w:val="00BE19A9"/>
    <w:rsid w:val="00BE1CBF"/>
    <w:rsid w:val="00BE39CA"/>
    <w:rsid w:val="00BE4230"/>
    <w:rsid w:val="00BE4AE3"/>
    <w:rsid w:val="00BE64DC"/>
    <w:rsid w:val="00BE663E"/>
    <w:rsid w:val="00BE6D00"/>
    <w:rsid w:val="00BE7813"/>
    <w:rsid w:val="00BE7D9B"/>
    <w:rsid w:val="00BF0920"/>
    <w:rsid w:val="00BF3A95"/>
    <w:rsid w:val="00BF647F"/>
    <w:rsid w:val="00BF6668"/>
    <w:rsid w:val="00BF6E9C"/>
    <w:rsid w:val="00C005C6"/>
    <w:rsid w:val="00C009D9"/>
    <w:rsid w:val="00C00EDF"/>
    <w:rsid w:val="00C02104"/>
    <w:rsid w:val="00C029E3"/>
    <w:rsid w:val="00C03403"/>
    <w:rsid w:val="00C036BD"/>
    <w:rsid w:val="00C038C0"/>
    <w:rsid w:val="00C04A1B"/>
    <w:rsid w:val="00C0512E"/>
    <w:rsid w:val="00C051A9"/>
    <w:rsid w:val="00C05BB9"/>
    <w:rsid w:val="00C05EC8"/>
    <w:rsid w:val="00C06AE4"/>
    <w:rsid w:val="00C07D33"/>
    <w:rsid w:val="00C109F4"/>
    <w:rsid w:val="00C10A4A"/>
    <w:rsid w:val="00C11724"/>
    <w:rsid w:val="00C11E85"/>
    <w:rsid w:val="00C130A5"/>
    <w:rsid w:val="00C16B6F"/>
    <w:rsid w:val="00C16E93"/>
    <w:rsid w:val="00C16F1A"/>
    <w:rsid w:val="00C206FE"/>
    <w:rsid w:val="00C22377"/>
    <w:rsid w:val="00C22443"/>
    <w:rsid w:val="00C22537"/>
    <w:rsid w:val="00C23207"/>
    <w:rsid w:val="00C23880"/>
    <w:rsid w:val="00C23900"/>
    <w:rsid w:val="00C239E6"/>
    <w:rsid w:val="00C25450"/>
    <w:rsid w:val="00C308A9"/>
    <w:rsid w:val="00C31C0D"/>
    <w:rsid w:val="00C320D8"/>
    <w:rsid w:val="00C33834"/>
    <w:rsid w:val="00C33CEA"/>
    <w:rsid w:val="00C35514"/>
    <w:rsid w:val="00C36833"/>
    <w:rsid w:val="00C37800"/>
    <w:rsid w:val="00C37EB8"/>
    <w:rsid w:val="00C402EF"/>
    <w:rsid w:val="00C403CE"/>
    <w:rsid w:val="00C41D57"/>
    <w:rsid w:val="00C425FC"/>
    <w:rsid w:val="00C4359D"/>
    <w:rsid w:val="00C458B9"/>
    <w:rsid w:val="00C45AA0"/>
    <w:rsid w:val="00C50CB4"/>
    <w:rsid w:val="00C513A1"/>
    <w:rsid w:val="00C518C1"/>
    <w:rsid w:val="00C52AB3"/>
    <w:rsid w:val="00C52BC4"/>
    <w:rsid w:val="00C53D6D"/>
    <w:rsid w:val="00C55355"/>
    <w:rsid w:val="00C55CEC"/>
    <w:rsid w:val="00C56A3C"/>
    <w:rsid w:val="00C56EB7"/>
    <w:rsid w:val="00C61865"/>
    <w:rsid w:val="00C61C93"/>
    <w:rsid w:val="00C64BD4"/>
    <w:rsid w:val="00C64D2E"/>
    <w:rsid w:val="00C65757"/>
    <w:rsid w:val="00C6661F"/>
    <w:rsid w:val="00C66809"/>
    <w:rsid w:val="00C66EBA"/>
    <w:rsid w:val="00C72E4A"/>
    <w:rsid w:val="00C73D79"/>
    <w:rsid w:val="00C740A9"/>
    <w:rsid w:val="00C77A5C"/>
    <w:rsid w:val="00C77C3C"/>
    <w:rsid w:val="00C814AC"/>
    <w:rsid w:val="00C8162E"/>
    <w:rsid w:val="00C82324"/>
    <w:rsid w:val="00C82A19"/>
    <w:rsid w:val="00C82F06"/>
    <w:rsid w:val="00C843BE"/>
    <w:rsid w:val="00C84C8E"/>
    <w:rsid w:val="00C85C5A"/>
    <w:rsid w:val="00C86F8A"/>
    <w:rsid w:val="00C8702B"/>
    <w:rsid w:val="00C87C68"/>
    <w:rsid w:val="00C902D4"/>
    <w:rsid w:val="00C9097B"/>
    <w:rsid w:val="00C91217"/>
    <w:rsid w:val="00C9141A"/>
    <w:rsid w:val="00C92190"/>
    <w:rsid w:val="00C9308B"/>
    <w:rsid w:val="00C93307"/>
    <w:rsid w:val="00C93542"/>
    <w:rsid w:val="00C9386D"/>
    <w:rsid w:val="00C9587F"/>
    <w:rsid w:val="00C95E5D"/>
    <w:rsid w:val="00C965D7"/>
    <w:rsid w:val="00CA090B"/>
    <w:rsid w:val="00CA0D0A"/>
    <w:rsid w:val="00CA373A"/>
    <w:rsid w:val="00CA396C"/>
    <w:rsid w:val="00CA3BC3"/>
    <w:rsid w:val="00CA3FA7"/>
    <w:rsid w:val="00CA55B5"/>
    <w:rsid w:val="00CA75D3"/>
    <w:rsid w:val="00CB0765"/>
    <w:rsid w:val="00CB235C"/>
    <w:rsid w:val="00CB2F0C"/>
    <w:rsid w:val="00CB30B9"/>
    <w:rsid w:val="00CB332C"/>
    <w:rsid w:val="00CB4C56"/>
    <w:rsid w:val="00CB6CAB"/>
    <w:rsid w:val="00CB6ED7"/>
    <w:rsid w:val="00CB78C0"/>
    <w:rsid w:val="00CB7F98"/>
    <w:rsid w:val="00CC1199"/>
    <w:rsid w:val="00CC251C"/>
    <w:rsid w:val="00CC27DF"/>
    <w:rsid w:val="00CC2AD4"/>
    <w:rsid w:val="00CC3138"/>
    <w:rsid w:val="00CC369D"/>
    <w:rsid w:val="00CC370D"/>
    <w:rsid w:val="00CC4206"/>
    <w:rsid w:val="00CC554E"/>
    <w:rsid w:val="00CC700F"/>
    <w:rsid w:val="00CD07D5"/>
    <w:rsid w:val="00CD0C59"/>
    <w:rsid w:val="00CD1D19"/>
    <w:rsid w:val="00CD23C2"/>
    <w:rsid w:val="00CD2DE4"/>
    <w:rsid w:val="00CD38B5"/>
    <w:rsid w:val="00CD433E"/>
    <w:rsid w:val="00CD47AB"/>
    <w:rsid w:val="00CD4C40"/>
    <w:rsid w:val="00CD5820"/>
    <w:rsid w:val="00CD5842"/>
    <w:rsid w:val="00CD5AFD"/>
    <w:rsid w:val="00CD63E7"/>
    <w:rsid w:val="00CD77EA"/>
    <w:rsid w:val="00CE0C06"/>
    <w:rsid w:val="00CE0C66"/>
    <w:rsid w:val="00CE1013"/>
    <w:rsid w:val="00CE176A"/>
    <w:rsid w:val="00CE2E42"/>
    <w:rsid w:val="00CE33AE"/>
    <w:rsid w:val="00CE6431"/>
    <w:rsid w:val="00CE7023"/>
    <w:rsid w:val="00CE731C"/>
    <w:rsid w:val="00CE776E"/>
    <w:rsid w:val="00CF02EA"/>
    <w:rsid w:val="00CF0A7F"/>
    <w:rsid w:val="00CF354F"/>
    <w:rsid w:val="00CF3BC3"/>
    <w:rsid w:val="00CF524E"/>
    <w:rsid w:val="00CF5F59"/>
    <w:rsid w:val="00CF7405"/>
    <w:rsid w:val="00D008CA"/>
    <w:rsid w:val="00D013E5"/>
    <w:rsid w:val="00D029FB"/>
    <w:rsid w:val="00D02E21"/>
    <w:rsid w:val="00D03038"/>
    <w:rsid w:val="00D03F8D"/>
    <w:rsid w:val="00D04233"/>
    <w:rsid w:val="00D04521"/>
    <w:rsid w:val="00D04F7E"/>
    <w:rsid w:val="00D0540C"/>
    <w:rsid w:val="00D061AA"/>
    <w:rsid w:val="00D06831"/>
    <w:rsid w:val="00D06FF5"/>
    <w:rsid w:val="00D07FF8"/>
    <w:rsid w:val="00D106C9"/>
    <w:rsid w:val="00D11C94"/>
    <w:rsid w:val="00D13AA5"/>
    <w:rsid w:val="00D13B2B"/>
    <w:rsid w:val="00D13FD8"/>
    <w:rsid w:val="00D1674F"/>
    <w:rsid w:val="00D17130"/>
    <w:rsid w:val="00D20211"/>
    <w:rsid w:val="00D20633"/>
    <w:rsid w:val="00D20E6D"/>
    <w:rsid w:val="00D21190"/>
    <w:rsid w:val="00D212C2"/>
    <w:rsid w:val="00D23227"/>
    <w:rsid w:val="00D23463"/>
    <w:rsid w:val="00D24831"/>
    <w:rsid w:val="00D24C4F"/>
    <w:rsid w:val="00D24ED9"/>
    <w:rsid w:val="00D26002"/>
    <w:rsid w:val="00D2650F"/>
    <w:rsid w:val="00D27AB1"/>
    <w:rsid w:val="00D30973"/>
    <w:rsid w:val="00D3118E"/>
    <w:rsid w:val="00D31978"/>
    <w:rsid w:val="00D31F5F"/>
    <w:rsid w:val="00D3306C"/>
    <w:rsid w:val="00D34373"/>
    <w:rsid w:val="00D353C6"/>
    <w:rsid w:val="00D3645A"/>
    <w:rsid w:val="00D377F8"/>
    <w:rsid w:val="00D37A5D"/>
    <w:rsid w:val="00D37EEB"/>
    <w:rsid w:val="00D40172"/>
    <w:rsid w:val="00D40983"/>
    <w:rsid w:val="00D409C7"/>
    <w:rsid w:val="00D409E5"/>
    <w:rsid w:val="00D40B5B"/>
    <w:rsid w:val="00D411CA"/>
    <w:rsid w:val="00D41A17"/>
    <w:rsid w:val="00D41B39"/>
    <w:rsid w:val="00D424B3"/>
    <w:rsid w:val="00D435F0"/>
    <w:rsid w:val="00D44D7A"/>
    <w:rsid w:val="00D45B5F"/>
    <w:rsid w:val="00D5137C"/>
    <w:rsid w:val="00D528B1"/>
    <w:rsid w:val="00D53698"/>
    <w:rsid w:val="00D53CA9"/>
    <w:rsid w:val="00D54C68"/>
    <w:rsid w:val="00D55241"/>
    <w:rsid w:val="00D55D23"/>
    <w:rsid w:val="00D57B6F"/>
    <w:rsid w:val="00D61101"/>
    <w:rsid w:val="00D6110C"/>
    <w:rsid w:val="00D6177D"/>
    <w:rsid w:val="00D61A7F"/>
    <w:rsid w:val="00D62156"/>
    <w:rsid w:val="00D622F4"/>
    <w:rsid w:val="00D62655"/>
    <w:rsid w:val="00D6349A"/>
    <w:rsid w:val="00D63FD6"/>
    <w:rsid w:val="00D642E1"/>
    <w:rsid w:val="00D67C40"/>
    <w:rsid w:val="00D70168"/>
    <w:rsid w:val="00D72589"/>
    <w:rsid w:val="00D73FB1"/>
    <w:rsid w:val="00D74B17"/>
    <w:rsid w:val="00D75801"/>
    <w:rsid w:val="00D76BC9"/>
    <w:rsid w:val="00D76CFE"/>
    <w:rsid w:val="00D76DA1"/>
    <w:rsid w:val="00D81224"/>
    <w:rsid w:val="00D8228B"/>
    <w:rsid w:val="00D8290D"/>
    <w:rsid w:val="00D83F6C"/>
    <w:rsid w:val="00D842CB"/>
    <w:rsid w:val="00D84759"/>
    <w:rsid w:val="00D87DF0"/>
    <w:rsid w:val="00D90FB2"/>
    <w:rsid w:val="00D91845"/>
    <w:rsid w:val="00D91895"/>
    <w:rsid w:val="00D9242B"/>
    <w:rsid w:val="00D94969"/>
    <w:rsid w:val="00D94E31"/>
    <w:rsid w:val="00D95300"/>
    <w:rsid w:val="00D954CB"/>
    <w:rsid w:val="00D95ED8"/>
    <w:rsid w:val="00D974F6"/>
    <w:rsid w:val="00D97B88"/>
    <w:rsid w:val="00DA00F6"/>
    <w:rsid w:val="00DA018E"/>
    <w:rsid w:val="00DA07CA"/>
    <w:rsid w:val="00DA1B79"/>
    <w:rsid w:val="00DA277B"/>
    <w:rsid w:val="00DA567E"/>
    <w:rsid w:val="00DA5722"/>
    <w:rsid w:val="00DA5B3C"/>
    <w:rsid w:val="00DA6164"/>
    <w:rsid w:val="00DA6437"/>
    <w:rsid w:val="00DB07A6"/>
    <w:rsid w:val="00DB187C"/>
    <w:rsid w:val="00DB1A3C"/>
    <w:rsid w:val="00DB1BC1"/>
    <w:rsid w:val="00DB2B4A"/>
    <w:rsid w:val="00DB3C24"/>
    <w:rsid w:val="00DB4766"/>
    <w:rsid w:val="00DB489A"/>
    <w:rsid w:val="00DB4DFE"/>
    <w:rsid w:val="00DB6C47"/>
    <w:rsid w:val="00DB6CE3"/>
    <w:rsid w:val="00DB6F51"/>
    <w:rsid w:val="00DC01C4"/>
    <w:rsid w:val="00DC19D5"/>
    <w:rsid w:val="00DC2050"/>
    <w:rsid w:val="00DC2ABD"/>
    <w:rsid w:val="00DC2BFC"/>
    <w:rsid w:val="00DC3BF3"/>
    <w:rsid w:val="00DC47F1"/>
    <w:rsid w:val="00DC4A12"/>
    <w:rsid w:val="00DC4CE5"/>
    <w:rsid w:val="00DC5A52"/>
    <w:rsid w:val="00DC6803"/>
    <w:rsid w:val="00DC7CF0"/>
    <w:rsid w:val="00DD1A79"/>
    <w:rsid w:val="00DD1EBD"/>
    <w:rsid w:val="00DD1F8D"/>
    <w:rsid w:val="00DD50D4"/>
    <w:rsid w:val="00DD5506"/>
    <w:rsid w:val="00DD5D21"/>
    <w:rsid w:val="00DE0172"/>
    <w:rsid w:val="00DE01AE"/>
    <w:rsid w:val="00DE0358"/>
    <w:rsid w:val="00DE0544"/>
    <w:rsid w:val="00DE20E9"/>
    <w:rsid w:val="00DE2472"/>
    <w:rsid w:val="00DE45D5"/>
    <w:rsid w:val="00DE4975"/>
    <w:rsid w:val="00DE4D91"/>
    <w:rsid w:val="00DE5499"/>
    <w:rsid w:val="00DE7587"/>
    <w:rsid w:val="00DF097C"/>
    <w:rsid w:val="00DF09BB"/>
    <w:rsid w:val="00DF163D"/>
    <w:rsid w:val="00DF2D9C"/>
    <w:rsid w:val="00DF3F28"/>
    <w:rsid w:val="00DF41B0"/>
    <w:rsid w:val="00DF4897"/>
    <w:rsid w:val="00DF4990"/>
    <w:rsid w:val="00DF603E"/>
    <w:rsid w:val="00DF62C9"/>
    <w:rsid w:val="00DF6E13"/>
    <w:rsid w:val="00DF7063"/>
    <w:rsid w:val="00DF78C0"/>
    <w:rsid w:val="00DF7D67"/>
    <w:rsid w:val="00E002FF"/>
    <w:rsid w:val="00E02A02"/>
    <w:rsid w:val="00E041A1"/>
    <w:rsid w:val="00E04392"/>
    <w:rsid w:val="00E04750"/>
    <w:rsid w:val="00E05864"/>
    <w:rsid w:val="00E05E5D"/>
    <w:rsid w:val="00E108A5"/>
    <w:rsid w:val="00E10925"/>
    <w:rsid w:val="00E10F0F"/>
    <w:rsid w:val="00E114BE"/>
    <w:rsid w:val="00E12361"/>
    <w:rsid w:val="00E138C1"/>
    <w:rsid w:val="00E14A82"/>
    <w:rsid w:val="00E14ADE"/>
    <w:rsid w:val="00E14F80"/>
    <w:rsid w:val="00E16697"/>
    <w:rsid w:val="00E16874"/>
    <w:rsid w:val="00E176A1"/>
    <w:rsid w:val="00E17A3A"/>
    <w:rsid w:val="00E20550"/>
    <w:rsid w:val="00E20AE8"/>
    <w:rsid w:val="00E217C3"/>
    <w:rsid w:val="00E217FF"/>
    <w:rsid w:val="00E21D02"/>
    <w:rsid w:val="00E235F7"/>
    <w:rsid w:val="00E24A0D"/>
    <w:rsid w:val="00E25262"/>
    <w:rsid w:val="00E2793E"/>
    <w:rsid w:val="00E30039"/>
    <w:rsid w:val="00E3163E"/>
    <w:rsid w:val="00E317BE"/>
    <w:rsid w:val="00E3416A"/>
    <w:rsid w:val="00E364A0"/>
    <w:rsid w:val="00E36B6D"/>
    <w:rsid w:val="00E37442"/>
    <w:rsid w:val="00E37BF7"/>
    <w:rsid w:val="00E4354E"/>
    <w:rsid w:val="00E43AE0"/>
    <w:rsid w:val="00E447DB"/>
    <w:rsid w:val="00E4536B"/>
    <w:rsid w:val="00E45C85"/>
    <w:rsid w:val="00E50D11"/>
    <w:rsid w:val="00E51A62"/>
    <w:rsid w:val="00E52011"/>
    <w:rsid w:val="00E53723"/>
    <w:rsid w:val="00E5384F"/>
    <w:rsid w:val="00E549E0"/>
    <w:rsid w:val="00E54BE3"/>
    <w:rsid w:val="00E56EE1"/>
    <w:rsid w:val="00E572A7"/>
    <w:rsid w:val="00E575E7"/>
    <w:rsid w:val="00E6098C"/>
    <w:rsid w:val="00E6227B"/>
    <w:rsid w:val="00E64547"/>
    <w:rsid w:val="00E65359"/>
    <w:rsid w:val="00E66167"/>
    <w:rsid w:val="00E72B38"/>
    <w:rsid w:val="00E736CA"/>
    <w:rsid w:val="00E73984"/>
    <w:rsid w:val="00E73CE1"/>
    <w:rsid w:val="00E74864"/>
    <w:rsid w:val="00E75F65"/>
    <w:rsid w:val="00E77EAB"/>
    <w:rsid w:val="00E82190"/>
    <w:rsid w:val="00E835A6"/>
    <w:rsid w:val="00E83FE8"/>
    <w:rsid w:val="00E84269"/>
    <w:rsid w:val="00E8450C"/>
    <w:rsid w:val="00E85C87"/>
    <w:rsid w:val="00E862A1"/>
    <w:rsid w:val="00E86944"/>
    <w:rsid w:val="00E87B84"/>
    <w:rsid w:val="00E91125"/>
    <w:rsid w:val="00E91CE0"/>
    <w:rsid w:val="00E91FC5"/>
    <w:rsid w:val="00E9211E"/>
    <w:rsid w:val="00E933AB"/>
    <w:rsid w:val="00E9455D"/>
    <w:rsid w:val="00E9557B"/>
    <w:rsid w:val="00E9642A"/>
    <w:rsid w:val="00E96496"/>
    <w:rsid w:val="00E97942"/>
    <w:rsid w:val="00EA30CB"/>
    <w:rsid w:val="00EA43BF"/>
    <w:rsid w:val="00EA450E"/>
    <w:rsid w:val="00EA519C"/>
    <w:rsid w:val="00EA52E7"/>
    <w:rsid w:val="00EA5D55"/>
    <w:rsid w:val="00EA6FDE"/>
    <w:rsid w:val="00EB052B"/>
    <w:rsid w:val="00EB0C1F"/>
    <w:rsid w:val="00EB1909"/>
    <w:rsid w:val="00EB1B70"/>
    <w:rsid w:val="00EB2153"/>
    <w:rsid w:val="00EB283B"/>
    <w:rsid w:val="00EB373E"/>
    <w:rsid w:val="00EB79F7"/>
    <w:rsid w:val="00EC0249"/>
    <w:rsid w:val="00EC108A"/>
    <w:rsid w:val="00EC2582"/>
    <w:rsid w:val="00EC3693"/>
    <w:rsid w:val="00EC5239"/>
    <w:rsid w:val="00EC59FE"/>
    <w:rsid w:val="00EC5D90"/>
    <w:rsid w:val="00EC5E5C"/>
    <w:rsid w:val="00EC6C44"/>
    <w:rsid w:val="00EC7CA5"/>
    <w:rsid w:val="00EC7F69"/>
    <w:rsid w:val="00ED016B"/>
    <w:rsid w:val="00ED41F8"/>
    <w:rsid w:val="00ED43A3"/>
    <w:rsid w:val="00ED69CD"/>
    <w:rsid w:val="00ED6A0C"/>
    <w:rsid w:val="00ED6C79"/>
    <w:rsid w:val="00EE1AE0"/>
    <w:rsid w:val="00EE49A7"/>
    <w:rsid w:val="00EE4B75"/>
    <w:rsid w:val="00EE59AE"/>
    <w:rsid w:val="00EE5D8E"/>
    <w:rsid w:val="00EE6288"/>
    <w:rsid w:val="00EE6E59"/>
    <w:rsid w:val="00EE781A"/>
    <w:rsid w:val="00EF0330"/>
    <w:rsid w:val="00EF1112"/>
    <w:rsid w:val="00EF2B12"/>
    <w:rsid w:val="00EF35B0"/>
    <w:rsid w:val="00EF3B09"/>
    <w:rsid w:val="00EF5125"/>
    <w:rsid w:val="00EF6B5E"/>
    <w:rsid w:val="00F01FC1"/>
    <w:rsid w:val="00F03040"/>
    <w:rsid w:val="00F044C7"/>
    <w:rsid w:val="00F047D0"/>
    <w:rsid w:val="00F0540C"/>
    <w:rsid w:val="00F0766F"/>
    <w:rsid w:val="00F11164"/>
    <w:rsid w:val="00F1280A"/>
    <w:rsid w:val="00F13288"/>
    <w:rsid w:val="00F13570"/>
    <w:rsid w:val="00F13973"/>
    <w:rsid w:val="00F14084"/>
    <w:rsid w:val="00F14B24"/>
    <w:rsid w:val="00F15E78"/>
    <w:rsid w:val="00F16812"/>
    <w:rsid w:val="00F17710"/>
    <w:rsid w:val="00F178E8"/>
    <w:rsid w:val="00F21939"/>
    <w:rsid w:val="00F220C6"/>
    <w:rsid w:val="00F23168"/>
    <w:rsid w:val="00F26D69"/>
    <w:rsid w:val="00F27BA6"/>
    <w:rsid w:val="00F301E7"/>
    <w:rsid w:val="00F302E2"/>
    <w:rsid w:val="00F30575"/>
    <w:rsid w:val="00F307E3"/>
    <w:rsid w:val="00F30FAC"/>
    <w:rsid w:val="00F3169A"/>
    <w:rsid w:val="00F32077"/>
    <w:rsid w:val="00F32BC5"/>
    <w:rsid w:val="00F33FA2"/>
    <w:rsid w:val="00F3431C"/>
    <w:rsid w:val="00F34A24"/>
    <w:rsid w:val="00F35693"/>
    <w:rsid w:val="00F35732"/>
    <w:rsid w:val="00F3585B"/>
    <w:rsid w:val="00F3677F"/>
    <w:rsid w:val="00F37AC5"/>
    <w:rsid w:val="00F4185F"/>
    <w:rsid w:val="00F41BD5"/>
    <w:rsid w:val="00F41E90"/>
    <w:rsid w:val="00F42638"/>
    <w:rsid w:val="00F4276B"/>
    <w:rsid w:val="00F4285A"/>
    <w:rsid w:val="00F42A3C"/>
    <w:rsid w:val="00F445A3"/>
    <w:rsid w:val="00F4770E"/>
    <w:rsid w:val="00F478FF"/>
    <w:rsid w:val="00F5050A"/>
    <w:rsid w:val="00F50CF4"/>
    <w:rsid w:val="00F50F2D"/>
    <w:rsid w:val="00F51A9E"/>
    <w:rsid w:val="00F525BA"/>
    <w:rsid w:val="00F52F5A"/>
    <w:rsid w:val="00F53E99"/>
    <w:rsid w:val="00F5462B"/>
    <w:rsid w:val="00F55977"/>
    <w:rsid w:val="00F55C5E"/>
    <w:rsid w:val="00F56D79"/>
    <w:rsid w:val="00F60812"/>
    <w:rsid w:val="00F620A2"/>
    <w:rsid w:val="00F63506"/>
    <w:rsid w:val="00F64A1D"/>
    <w:rsid w:val="00F64B6C"/>
    <w:rsid w:val="00F6524D"/>
    <w:rsid w:val="00F655CE"/>
    <w:rsid w:val="00F662B5"/>
    <w:rsid w:val="00F70075"/>
    <w:rsid w:val="00F7273C"/>
    <w:rsid w:val="00F730AD"/>
    <w:rsid w:val="00F73E39"/>
    <w:rsid w:val="00F768D2"/>
    <w:rsid w:val="00F775AC"/>
    <w:rsid w:val="00F77BE2"/>
    <w:rsid w:val="00F81309"/>
    <w:rsid w:val="00F8141A"/>
    <w:rsid w:val="00F81D4D"/>
    <w:rsid w:val="00F82CE3"/>
    <w:rsid w:val="00F85F10"/>
    <w:rsid w:val="00F87D3A"/>
    <w:rsid w:val="00F90EA7"/>
    <w:rsid w:val="00F912A7"/>
    <w:rsid w:val="00F91F9F"/>
    <w:rsid w:val="00F92C40"/>
    <w:rsid w:val="00F92E05"/>
    <w:rsid w:val="00F92FDB"/>
    <w:rsid w:val="00F93342"/>
    <w:rsid w:val="00F948EE"/>
    <w:rsid w:val="00F96AB6"/>
    <w:rsid w:val="00F9746F"/>
    <w:rsid w:val="00F97ACE"/>
    <w:rsid w:val="00FA13A9"/>
    <w:rsid w:val="00FA1443"/>
    <w:rsid w:val="00FA1D6B"/>
    <w:rsid w:val="00FA1D99"/>
    <w:rsid w:val="00FA221D"/>
    <w:rsid w:val="00FA250A"/>
    <w:rsid w:val="00FA6008"/>
    <w:rsid w:val="00FA683A"/>
    <w:rsid w:val="00FA6CBB"/>
    <w:rsid w:val="00FA744B"/>
    <w:rsid w:val="00FA763B"/>
    <w:rsid w:val="00FB0CB5"/>
    <w:rsid w:val="00FB1009"/>
    <w:rsid w:val="00FB19A1"/>
    <w:rsid w:val="00FB2769"/>
    <w:rsid w:val="00FB29ED"/>
    <w:rsid w:val="00FB2FE5"/>
    <w:rsid w:val="00FB3C3A"/>
    <w:rsid w:val="00FB4F1A"/>
    <w:rsid w:val="00FB500E"/>
    <w:rsid w:val="00FB5632"/>
    <w:rsid w:val="00FB68B4"/>
    <w:rsid w:val="00FB695F"/>
    <w:rsid w:val="00FB7214"/>
    <w:rsid w:val="00FB792A"/>
    <w:rsid w:val="00FC12D2"/>
    <w:rsid w:val="00FC1E5C"/>
    <w:rsid w:val="00FC2B9E"/>
    <w:rsid w:val="00FC5335"/>
    <w:rsid w:val="00FC66CC"/>
    <w:rsid w:val="00FC7839"/>
    <w:rsid w:val="00FD00D7"/>
    <w:rsid w:val="00FD0B41"/>
    <w:rsid w:val="00FD0D18"/>
    <w:rsid w:val="00FD1A58"/>
    <w:rsid w:val="00FD306E"/>
    <w:rsid w:val="00FD3264"/>
    <w:rsid w:val="00FD3963"/>
    <w:rsid w:val="00FD6EFB"/>
    <w:rsid w:val="00FD6F41"/>
    <w:rsid w:val="00FD6FDC"/>
    <w:rsid w:val="00FD70CE"/>
    <w:rsid w:val="00FD7CD8"/>
    <w:rsid w:val="00FE0064"/>
    <w:rsid w:val="00FE0F01"/>
    <w:rsid w:val="00FE138B"/>
    <w:rsid w:val="00FE2211"/>
    <w:rsid w:val="00FE26F5"/>
    <w:rsid w:val="00FE2762"/>
    <w:rsid w:val="00FE45D4"/>
    <w:rsid w:val="00FE5D1C"/>
    <w:rsid w:val="00FE6494"/>
    <w:rsid w:val="00FE6EC5"/>
    <w:rsid w:val="00FF04E0"/>
    <w:rsid w:val="00FF2960"/>
    <w:rsid w:val="00FF31BA"/>
    <w:rsid w:val="00FF3AE1"/>
    <w:rsid w:val="00FF3DE2"/>
    <w:rsid w:val="00FF48E8"/>
    <w:rsid w:val="00FF4D61"/>
    <w:rsid w:val="00FF52FA"/>
    <w:rsid w:val="00FF5328"/>
    <w:rsid w:val="00FF53D6"/>
    <w:rsid w:val="00FF58AE"/>
    <w:rsid w:val="00FF5A73"/>
    <w:rsid w:val="00FF68F9"/>
    <w:rsid w:val="00FF6A02"/>
    <w:rsid w:val="00FF71F2"/>
    <w:rsid w:val="00FF7567"/>
    <w:rsid w:val="19B4F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4F9E"/>
  <w15:chartTrackingRefBased/>
  <w15:docId w15:val="{02A02F97-607F-2B49-9E2C-01DEBEF3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dobe Caslon Pro" w:eastAsiaTheme="minorHAnsi" w:hAnsi="Adobe Caslon Pro"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358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358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358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F358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585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585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585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585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585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58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358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3585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semiHidden/>
    <w:rsid w:val="00F3585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585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585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585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585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585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58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85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85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58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585B"/>
    <w:rPr>
      <w:i/>
      <w:iCs/>
      <w:color w:val="404040" w:themeColor="text1" w:themeTint="BF"/>
    </w:rPr>
  </w:style>
  <w:style w:type="paragraph" w:styleId="ListParagraph">
    <w:name w:val="List Paragraph"/>
    <w:basedOn w:val="Normal"/>
    <w:uiPriority w:val="34"/>
    <w:qFormat/>
    <w:rsid w:val="00F3585B"/>
    <w:pPr>
      <w:ind w:left="720"/>
      <w:contextualSpacing/>
    </w:pPr>
  </w:style>
  <w:style w:type="character" w:styleId="IntenseEmphasis">
    <w:name w:val="Intense Emphasis"/>
    <w:basedOn w:val="DefaultParagraphFont"/>
    <w:uiPriority w:val="21"/>
    <w:qFormat/>
    <w:rsid w:val="00F3585B"/>
    <w:rPr>
      <w:i/>
      <w:iCs/>
      <w:color w:val="0F4761" w:themeColor="accent1" w:themeShade="BF"/>
    </w:rPr>
  </w:style>
  <w:style w:type="paragraph" w:styleId="IntenseQuote">
    <w:name w:val="Intense Quote"/>
    <w:basedOn w:val="Normal"/>
    <w:next w:val="Normal"/>
    <w:link w:val="IntenseQuoteChar"/>
    <w:uiPriority w:val="30"/>
    <w:qFormat/>
    <w:rsid w:val="00F358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85B"/>
    <w:rPr>
      <w:i/>
      <w:iCs/>
      <w:color w:val="0F4761" w:themeColor="accent1" w:themeShade="BF"/>
    </w:rPr>
  </w:style>
  <w:style w:type="character" w:styleId="IntenseReference">
    <w:name w:val="Intense Reference"/>
    <w:basedOn w:val="DefaultParagraphFont"/>
    <w:uiPriority w:val="32"/>
    <w:qFormat/>
    <w:rsid w:val="00F3585B"/>
    <w:rPr>
      <w:b/>
      <w:bCs/>
      <w:smallCaps/>
      <w:color w:val="0F4761" w:themeColor="accent1" w:themeShade="BF"/>
      <w:spacing w:val="5"/>
    </w:rPr>
  </w:style>
  <w:style w:type="character" w:styleId="Hyperlink">
    <w:name w:val="Hyperlink"/>
    <w:uiPriority w:val="99"/>
    <w:rsid w:val="0097350F"/>
    <w:rPr>
      <w:rFonts w:cs="Times New Roman"/>
      <w:color w:val="0000FF"/>
      <w:u w:val="single"/>
    </w:rPr>
  </w:style>
  <w:style w:type="paragraph" w:styleId="NormalWeb">
    <w:name w:val="Normal (Web)"/>
    <w:basedOn w:val="Normal"/>
    <w:uiPriority w:val="99"/>
    <w:unhideWhenUsed/>
    <w:rsid w:val="00084002"/>
    <w:rPr>
      <w:rFonts w:ascii="Times New Roman" w:hAnsi="Times New Roman"/>
    </w:rPr>
  </w:style>
  <w:style w:type="paragraph" w:styleId="Footer">
    <w:name w:val="footer"/>
    <w:basedOn w:val="Normal"/>
    <w:link w:val="FooterChar"/>
    <w:unhideWhenUsed/>
    <w:rsid w:val="00703705"/>
    <w:pPr>
      <w:tabs>
        <w:tab w:val="center" w:pos="4680"/>
        <w:tab w:val="right" w:pos="9360"/>
      </w:tabs>
    </w:pPr>
  </w:style>
  <w:style w:type="character" w:customStyle="1" w:styleId="FooterChar">
    <w:name w:val="Footer Char"/>
    <w:basedOn w:val="DefaultParagraphFont"/>
    <w:link w:val="Footer"/>
    <w:rsid w:val="00703705"/>
  </w:style>
  <w:style w:type="character" w:styleId="PageNumber">
    <w:name w:val="page number"/>
    <w:basedOn w:val="DefaultParagraphFont"/>
    <w:unhideWhenUsed/>
    <w:rsid w:val="00703705"/>
  </w:style>
  <w:style w:type="character" w:styleId="UnresolvedMention">
    <w:name w:val="Unresolved Mention"/>
    <w:basedOn w:val="DefaultParagraphFont"/>
    <w:uiPriority w:val="99"/>
    <w:semiHidden/>
    <w:unhideWhenUsed/>
    <w:rsid w:val="00DA6164"/>
    <w:rPr>
      <w:color w:val="605E5C"/>
      <w:shd w:val="clear" w:color="auto" w:fill="E1DFDD"/>
    </w:rPr>
  </w:style>
  <w:style w:type="character" w:styleId="FollowedHyperlink">
    <w:name w:val="FollowedHyperlink"/>
    <w:basedOn w:val="DefaultParagraphFont"/>
    <w:unhideWhenUsed/>
    <w:rsid w:val="009811CB"/>
    <w:rPr>
      <w:color w:val="96607D" w:themeColor="followedHyperlink"/>
      <w:u w:val="single"/>
    </w:rPr>
  </w:style>
  <w:style w:type="paragraph" w:styleId="FootnoteText">
    <w:name w:val="footnote text"/>
    <w:basedOn w:val="Normal"/>
    <w:link w:val="FootnoteTextChar"/>
    <w:rsid w:val="006D4363"/>
    <w:rPr>
      <w:rFonts w:eastAsia="Times New Roman"/>
      <w:kern w:val="0"/>
      <w:sz w:val="20"/>
      <w:szCs w:val="20"/>
      <w14:ligatures w14:val="none"/>
    </w:rPr>
  </w:style>
  <w:style w:type="character" w:customStyle="1" w:styleId="FootnoteTextChar">
    <w:name w:val="Footnote Text Char"/>
    <w:basedOn w:val="DefaultParagraphFont"/>
    <w:link w:val="FootnoteText"/>
    <w:rsid w:val="006D4363"/>
    <w:rPr>
      <w:rFonts w:eastAsia="Times New Roman"/>
      <w:kern w:val="0"/>
      <w:sz w:val="20"/>
      <w:szCs w:val="20"/>
      <w14:ligatures w14:val="none"/>
    </w:rPr>
  </w:style>
  <w:style w:type="character" w:styleId="FootnoteReference">
    <w:name w:val="footnote reference"/>
    <w:uiPriority w:val="99"/>
    <w:rsid w:val="006D4363"/>
    <w:rPr>
      <w:vertAlign w:val="superscript"/>
    </w:rPr>
  </w:style>
  <w:style w:type="paragraph" w:customStyle="1" w:styleId="Reference1">
    <w:name w:val="Reference 1"/>
    <w:rsid w:val="006D43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6"/>
      <w:ind w:left="360" w:hanging="360"/>
    </w:pPr>
    <w:rPr>
      <w:rFonts w:ascii="BerkeleyMediumOldstyle-ITC" w:eastAsia="Times New Roman" w:hAnsi="BerkeleyMediumOldstyle-ITC"/>
      <w:kern w:val="0"/>
      <w:sz w:val="19"/>
      <w14:ligatures w14:val="none"/>
    </w:rPr>
  </w:style>
  <w:style w:type="paragraph" w:styleId="PlainText">
    <w:name w:val="Plain Text"/>
    <w:basedOn w:val="Normal"/>
    <w:link w:val="PlainTextChar"/>
    <w:rsid w:val="006D4363"/>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link w:val="PlainText"/>
    <w:rsid w:val="006D4363"/>
    <w:rPr>
      <w:rFonts w:ascii="Courier New" w:eastAsia="Times New Roman" w:hAnsi="Courier New" w:cs="Courier New"/>
      <w:kern w:val="0"/>
      <w:sz w:val="20"/>
      <w:szCs w:val="20"/>
      <w14:ligatures w14:val="none"/>
    </w:rPr>
  </w:style>
  <w:style w:type="character" w:styleId="CommentReference">
    <w:name w:val="annotation reference"/>
    <w:rsid w:val="006D4363"/>
    <w:rPr>
      <w:sz w:val="16"/>
      <w:szCs w:val="16"/>
    </w:rPr>
  </w:style>
  <w:style w:type="paragraph" w:styleId="CommentText">
    <w:name w:val="annotation text"/>
    <w:basedOn w:val="Normal"/>
    <w:link w:val="CommentTextChar"/>
    <w:rsid w:val="006D4363"/>
    <w:rPr>
      <w:rFonts w:eastAsia="Times New Roman"/>
      <w:kern w:val="0"/>
      <w:sz w:val="20"/>
      <w:szCs w:val="20"/>
      <w14:ligatures w14:val="none"/>
    </w:rPr>
  </w:style>
  <w:style w:type="character" w:customStyle="1" w:styleId="CommentTextChar">
    <w:name w:val="Comment Text Char"/>
    <w:basedOn w:val="DefaultParagraphFont"/>
    <w:link w:val="CommentText"/>
    <w:rsid w:val="006D4363"/>
    <w:rPr>
      <w:rFonts w:eastAsia="Times New Roman"/>
      <w:kern w:val="0"/>
      <w:sz w:val="20"/>
      <w:szCs w:val="20"/>
      <w14:ligatures w14:val="none"/>
    </w:rPr>
  </w:style>
  <w:style w:type="paragraph" w:styleId="CommentSubject">
    <w:name w:val="annotation subject"/>
    <w:basedOn w:val="CommentText"/>
    <w:next w:val="CommentText"/>
    <w:link w:val="CommentSubjectChar"/>
    <w:rsid w:val="006D4363"/>
    <w:rPr>
      <w:b/>
      <w:bCs/>
    </w:rPr>
  </w:style>
  <w:style w:type="character" w:customStyle="1" w:styleId="CommentSubjectChar">
    <w:name w:val="Comment Subject Char"/>
    <w:basedOn w:val="CommentTextChar"/>
    <w:link w:val="CommentSubject"/>
    <w:rsid w:val="006D4363"/>
    <w:rPr>
      <w:rFonts w:eastAsia="Times New Roman"/>
      <w:b/>
      <w:bCs/>
      <w:kern w:val="0"/>
      <w:sz w:val="20"/>
      <w:szCs w:val="20"/>
      <w14:ligatures w14:val="none"/>
    </w:rPr>
  </w:style>
  <w:style w:type="paragraph" w:styleId="BalloonText">
    <w:name w:val="Balloon Text"/>
    <w:basedOn w:val="Normal"/>
    <w:link w:val="BalloonTextChar"/>
    <w:rsid w:val="006D4363"/>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6D4363"/>
    <w:rPr>
      <w:rFonts w:ascii="Segoe UI" w:eastAsia="Times New Roman" w:hAnsi="Segoe UI" w:cs="Segoe UI"/>
      <w:kern w:val="0"/>
      <w:sz w:val="18"/>
      <w:szCs w:val="18"/>
      <w14:ligatures w14:val="none"/>
    </w:rPr>
  </w:style>
  <w:style w:type="paragraph" w:styleId="Revision">
    <w:name w:val="Revision"/>
    <w:hidden/>
    <w:uiPriority w:val="99"/>
    <w:semiHidden/>
    <w:rsid w:val="006D4363"/>
    <w:rPr>
      <w:rFonts w:eastAsia="Times New Roman"/>
      <w:kern w:val="0"/>
      <w14:ligatures w14:val="none"/>
    </w:rPr>
  </w:style>
  <w:style w:type="paragraph" w:styleId="Header">
    <w:name w:val="header"/>
    <w:basedOn w:val="Normal"/>
    <w:link w:val="HeaderChar"/>
    <w:rsid w:val="006D4363"/>
    <w:pPr>
      <w:tabs>
        <w:tab w:val="center" w:pos="4680"/>
        <w:tab w:val="right" w:pos="9360"/>
      </w:tabs>
    </w:pPr>
    <w:rPr>
      <w:rFonts w:eastAsia="Times New Roman"/>
      <w:kern w:val="0"/>
      <w14:ligatures w14:val="none"/>
    </w:rPr>
  </w:style>
  <w:style w:type="character" w:customStyle="1" w:styleId="HeaderChar">
    <w:name w:val="Header Char"/>
    <w:basedOn w:val="DefaultParagraphFont"/>
    <w:link w:val="Header"/>
    <w:rsid w:val="006D4363"/>
    <w:rPr>
      <w:rFonts w:eastAsia="Times New Roman"/>
      <w:kern w:val="0"/>
      <w14:ligatures w14:val="none"/>
    </w:rPr>
  </w:style>
  <w:style w:type="paragraph" w:customStyle="1" w:styleId="FootnoteText1">
    <w:name w:val="Footnote Text1"/>
    <w:rsid w:val="006D4363"/>
    <w:pPr>
      <w:spacing w:line="216" w:lineRule="auto"/>
    </w:pPr>
    <w:rPr>
      <w:rFonts w:ascii="Times" w:eastAsia="ヒラギノ角ゴ Pro W3" w:hAnsi="Times"/>
      <w:color w:val="000000"/>
      <w:kern w:val="0"/>
      <w:sz w:val="20"/>
      <w:szCs w:val="20"/>
      <w14:ligatures w14:val="none"/>
    </w:rPr>
  </w:style>
  <w:style w:type="paragraph" w:styleId="TOC1">
    <w:name w:val="toc 1"/>
    <w:basedOn w:val="Normal"/>
    <w:next w:val="Normal"/>
    <w:autoRedefine/>
    <w:uiPriority w:val="39"/>
    <w:rsid w:val="006D4363"/>
    <w:pPr>
      <w:spacing w:after="100"/>
    </w:pPr>
    <w:rPr>
      <w:rFonts w:eastAsia="Times New Roman"/>
      <w:kern w:val="0"/>
      <w14:ligatures w14:val="none"/>
    </w:rPr>
  </w:style>
  <w:style w:type="paragraph" w:styleId="TOC2">
    <w:name w:val="toc 2"/>
    <w:basedOn w:val="Normal"/>
    <w:next w:val="Normal"/>
    <w:autoRedefine/>
    <w:uiPriority w:val="39"/>
    <w:rsid w:val="006D4363"/>
    <w:pPr>
      <w:tabs>
        <w:tab w:val="right" w:leader="dot" w:pos="9350"/>
      </w:tabs>
      <w:spacing w:after="100"/>
      <w:ind w:left="240"/>
    </w:pPr>
    <w:rPr>
      <w:rFonts w:eastAsia="Times New Roman"/>
      <w:b/>
      <w:bCs/>
      <w:noProof/>
      <w:kern w:val="0"/>
      <w14:ligatures w14:val="none"/>
    </w:rPr>
  </w:style>
  <w:style w:type="paragraph" w:styleId="TOC3">
    <w:name w:val="toc 3"/>
    <w:basedOn w:val="Normal"/>
    <w:next w:val="Normal"/>
    <w:autoRedefine/>
    <w:uiPriority w:val="39"/>
    <w:rsid w:val="006D4363"/>
    <w:pPr>
      <w:tabs>
        <w:tab w:val="right" w:leader="dot" w:pos="9350"/>
      </w:tabs>
      <w:spacing w:after="100"/>
      <w:ind w:left="480"/>
    </w:pPr>
    <w:rPr>
      <w:rFonts w:eastAsia="Times New Roman"/>
      <w:noProof/>
      <w:kern w:val="0"/>
      <w:sz w:val="20"/>
      <w:szCs w:val="21"/>
      <w14:ligatures w14:val="none"/>
    </w:rPr>
  </w:style>
  <w:style w:type="character" w:styleId="Emphasis">
    <w:name w:val="Emphasis"/>
    <w:basedOn w:val="DefaultParagraphFont"/>
    <w:uiPriority w:val="20"/>
    <w:qFormat/>
    <w:rsid w:val="00C06A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401569">
      <w:bodyDiv w:val="1"/>
      <w:marLeft w:val="0"/>
      <w:marRight w:val="0"/>
      <w:marTop w:val="0"/>
      <w:marBottom w:val="0"/>
      <w:divBdr>
        <w:top w:val="none" w:sz="0" w:space="0" w:color="auto"/>
        <w:left w:val="none" w:sz="0" w:space="0" w:color="auto"/>
        <w:bottom w:val="none" w:sz="0" w:space="0" w:color="auto"/>
        <w:right w:val="none" w:sz="0" w:space="0" w:color="auto"/>
      </w:divBdr>
    </w:div>
    <w:div w:id="361324360">
      <w:bodyDiv w:val="1"/>
      <w:marLeft w:val="0"/>
      <w:marRight w:val="0"/>
      <w:marTop w:val="0"/>
      <w:marBottom w:val="0"/>
      <w:divBdr>
        <w:top w:val="none" w:sz="0" w:space="0" w:color="auto"/>
        <w:left w:val="none" w:sz="0" w:space="0" w:color="auto"/>
        <w:bottom w:val="none" w:sz="0" w:space="0" w:color="auto"/>
        <w:right w:val="none" w:sz="0" w:space="0" w:color="auto"/>
      </w:divBdr>
    </w:div>
    <w:div w:id="364063188">
      <w:bodyDiv w:val="1"/>
      <w:marLeft w:val="0"/>
      <w:marRight w:val="0"/>
      <w:marTop w:val="0"/>
      <w:marBottom w:val="0"/>
      <w:divBdr>
        <w:top w:val="none" w:sz="0" w:space="0" w:color="auto"/>
        <w:left w:val="none" w:sz="0" w:space="0" w:color="auto"/>
        <w:bottom w:val="none" w:sz="0" w:space="0" w:color="auto"/>
        <w:right w:val="none" w:sz="0" w:space="0" w:color="auto"/>
      </w:divBdr>
      <w:divsChild>
        <w:div w:id="527374942">
          <w:blockQuote w:val="1"/>
          <w:marLeft w:val="0"/>
          <w:marRight w:val="0"/>
          <w:marTop w:val="0"/>
          <w:marBottom w:val="390"/>
          <w:divBdr>
            <w:top w:val="none" w:sz="0" w:space="0" w:color="auto"/>
            <w:left w:val="single" w:sz="6" w:space="12" w:color="DDDDDD"/>
            <w:bottom w:val="none" w:sz="0" w:space="0" w:color="auto"/>
            <w:right w:val="none" w:sz="0" w:space="0" w:color="auto"/>
          </w:divBdr>
        </w:div>
      </w:divsChild>
    </w:div>
    <w:div w:id="403651238">
      <w:bodyDiv w:val="1"/>
      <w:marLeft w:val="0"/>
      <w:marRight w:val="0"/>
      <w:marTop w:val="0"/>
      <w:marBottom w:val="0"/>
      <w:divBdr>
        <w:top w:val="none" w:sz="0" w:space="0" w:color="auto"/>
        <w:left w:val="none" w:sz="0" w:space="0" w:color="auto"/>
        <w:bottom w:val="none" w:sz="0" w:space="0" w:color="auto"/>
        <w:right w:val="none" w:sz="0" w:space="0" w:color="auto"/>
      </w:divBdr>
    </w:div>
    <w:div w:id="412581444">
      <w:bodyDiv w:val="1"/>
      <w:marLeft w:val="0"/>
      <w:marRight w:val="0"/>
      <w:marTop w:val="0"/>
      <w:marBottom w:val="0"/>
      <w:divBdr>
        <w:top w:val="none" w:sz="0" w:space="0" w:color="auto"/>
        <w:left w:val="none" w:sz="0" w:space="0" w:color="auto"/>
        <w:bottom w:val="none" w:sz="0" w:space="0" w:color="auto"/>
        <w:right w:val="none" w:sz="0" w:space="0" w:color="auto"/>
      </w:divBdr>
    </w:div>
    <w:div w:id="415979000">
      <w:bodyDiv w:val="1"/>
      <w:marLeft w:val="0"/>
      <w:marRight w:val="0"/>
      <w:marTop w:val="0"/>
      <w:marBottom w:val="0"/>
      <w:divBdr>
        <w:top w:val="none" w:sz="0" w:space="0" w:color="auto"/>
        <w:left w:val="none" w:sz="0" w:space="0" w:color="auto"/>
        <w:bottom w:val="none" w:sz="0" w:space="0" w:color="auto"/>
        <w:right w:val="none" w:sz="0" w:space="0" w:color="auto"/>
      </w:divBdr>
    </w:div>
    <w:div w:id="438337004">
      <w:bodyDiv w:val="1"/>
      <w:marLeft w:val="0"/>
      <w:marRight w:val="0"/>
      <w:marTop w:val="0"/>
      <w:marBottom w:val="0"/>
      <w:divBdr>
        <w:top w:val="none" w:sz="0" w:space="0" w:color="auto"/>
        <w:left w:val="none" w:sz="0" w:space="0" w:color="auto"/>
        <w:bottom w:val="none" w:sz="0" w:space="0" w:color="auto"/>
        <w:right w:val="none" w:sz="0" w:space="0" w:color="auto"/>
      </w:divBdr>
    </w:div>
    <w:div w:id="465396016">
      <w:bodyDiv w:val="1"/>
      <w:marLeft w:val="0"/>
      <w:marRight w:val="0"/>
      <w:marTop w:val="0"/>
      <w:marBottom w:val="0"/>
      <w:divBdr>
        <w:top w:val="none" w:sz="0" w:space="0" w:color="auto"/>
        <w:left w:val="none" w:sz="0" w:space="0" w:color="auto"/>
        <w:bottom w:val="none" w:sz="0" w:space="0" w:color="auto"/>
        <w:right w:val="none" w:sz="0" w:space="0" w:color="auto"/>
      </w:divBdr>
    </w:div>
    <w:div w:id="499470890">
      <w:bodyDiv w:val="1"/>
      <w:marLeft w:val="0"/>
      <w:marRight w:val="0"/>
      <w:marTop w:val="0"/>
      <w:marBottom w:val="0"/>
      <w:divBdr>
        <w:top w:val="none" w:sz="0" w:space="0" w:color="auto"/>
        <w:left w:val="none" w:sz="0" w:space="0" w:color="auto"/>
        <w:bottom w:val="none" w:sz="0" w:space="0" w:color="auto"/>
        <w:right w:val="none" w:sz="0" w:space="0" w:color="auto"/>
      </w:divBdr>
    </w:div>
    <w:div w:id="619268468">
      <w:bodyDiv w:val="1"/>
      <w:marLeft w:val="0"/>
      <w:marRight w:val="0"/>
      <w:marTop w:val="0"/>
      <w:marBottom w:val="0"/>
      <w:divBdr>
        <w:top w:val="none" w:sz="0" w:space="0" w:color="auto"/>
        <w:left w:val="none" w:sz="0" w:space="0" w:color="auto"/>
        <w:bottom w:val="none" w:sz="0" w:space="0" w:color="auto"/>
        <w:right w:val="none" w:sz="0" w:space="0" w:color="auto"/>
      </w:divBdr>
      <w:divsChild>
        <w:div w:id="1673147717">
          <w:marLeft w:val="0"/>
          <w:marRight w:val="0"/>
          <w:marTop w:val="0"/>
          <w:marBottom w:val="0"/>
          <w:divBdr>
            <w:top w:val="none" w:sz="0" w:space="0" w:color="auto"/>
            <w:left w:val="none" w:sz="0" w:space="0" w:color="auto"/>
            <w:bottom w:val="none" w:sz="0" w:space="0" w:color="auto"/>
            <w:right w:val="none" w:sz="0" w:space="0" w:color="auto"/>
          </w:divBdr>
        </w:div>
        <w:div w:id="1231961717">
          <w:marLeft w:val="0"/>
          <w:marRight w:val="0"/>
          <w:marTop w:val="0"/>
          <w:marBottom w:val="0"/>
          <w:divBdr>
            <w:top w:val="none" w:sz="0" w:space="0" w:color="auto"/>
            <w:left w:val="none" w:sz="0" w:space="0" w:color="auto"/>
            <w:bottom w:val="none" w:sz="0" w:space="0" w:color="auto"/>
            <w:right w:val="none" w:sz="0" w:space="0" w:color="auto"/>
          </w:divBdr>
          <w:divsChild>
            <w:div w:id="1088118973">
              <w:marLeft w:val="0"/>
              <w:marRight w:val="0"/>
              <w:marTop w:val="0"/>
              <w:marBottom w:val="0"/>
              <w:divBdr>
                <w:top w:val="none" w:sz="0" w:space="0" w:color="auto"/>
                <w:left w:val="none" w:sz="0" w:space="0" w:color="auto"/>
                <w:bottom w:val="none" w:sz="0" w:space="0" w:color="auto"/>
                <w:right w:val="none" w:sz="0" w:space="0" w:color="auto"/>
              </w:divBdr>
              <w:divsChild>
                <w:div w:id="1100880910">
                  <w:marLeft w:val="0"/>
                  <w:marRight w:val="0"/>
                  <w:marTop w:val="0"/>
                  <w:marBottom w:val="0"/>
                  <w:divBdr>
                    <w:top w:val="none" w:sz="0" w:space="0" w:color="auto"/>
                    <w:left w:val="none" w:sz="0" w:space="0" w:color="auto"/>
                    <w:bottom w:val="none" w:sz="0" w:space="0" w:color="auto"/>
                    <w:right w:val="none" w:sz="0" w:space="0" w:color="auto"/>
                  </w:divBdr>
                </w:div>
                <w:div w:id="17006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74247">
      <w:bodyDiv w:val="1"/>
      <w:marLeft w:val="0"/>
      <w:marRight w:val="0"/>
      <w:marTop w:val="0"/>
      <w:marBottom w:val="0"/>
      <w:divBdr>
        <w:top w:val="none" w:sz="0" w:space="0" w:color="auto"/>
        <w:left w:val="none" w:sz="0" w:space="0" w:color="auto"/>
        <w:bottom w:val="none" w:sz="0" w:space="0" w:color="auto"/>
        <w:right w:val="none" w:sz="0" w:space="0" w:color="auto"/>
      </w:divBdr>
      <w:divsChild>
        <w:div w:id="2115859189">
          <w:blockQuote w:val="1"/>
          <w:marLeft w:val="0"/>
          <w:marRight w:val="0"/>
          <w:marTop w:val="0"/>
          <w:marBottom w:val="390"/>
          <w:divBdr>
            <w:top w:val="none" w:sz="0" w:space="0" w:color="auto"/>
            <w:left w:val="single" w:sz="6" w:space="12" w:color="DDDDDD"/>
            <w:bottom w:val="none" w:sz="0" w:space="0" w:color="auto"/>
            <w:right w:val="none" w:sz="0" w:space="0" w:color="auto"/>
          </w:divBdr>
        </w:div>
      </w:divsChild>
    </w:div>
    <w:div w:id="1072850043">
      <w:bodyDiv w:val="1"/>
      <w:marLeft w:val="0"/>
      <w:marRight w:val="0"/>
      <w:marTop w:val="0"/>
      <w:marBottom w:val="0"/>
      <w:divBdr>
        <w:top w:val="none" w:sz="0" w:space="0" w:color="auto"/>
        <w:left w:val="none" w:sz="0" w:space="0" w:color="auto"/>
        <w:bottom w:val="none" w:sz="0" w:space="0" w:color="auto"/>
        <w:right w:val="none" w:sz="0" w:space="0" w:color="auto"/>
      </w:divBdr>
    </w:div>
    <w:div w:id="1093402747">
      <w:bodyDiv w:val="1"/>
      <w:marLeft w:val="0"/>
      <w:marRight w:val="0"/>
      <w:marTop w:val="0"/>
      <w:marBottom w:val="0"/>
      <w:divBdr>
        <w:top w:val="none" w:sz="0" w:space="0" w:color="auto"/>
        <w:left w:val="none" w:sz="0" w:space="0" w:color="auto"/>
        <w:bottom w:val="none" w:sz="0" w:space="0" w:color="auto"/>
        <w:right w:val="none" w:sz="0" w:space="0" w:color="auto"/>
      </w:divBdr>
    </w:div>
    <w:div w:id="1190874260">
      <w:bodyDiv w:val="1"/>
      <w:marLeft w:val="0"/>
      <w:marRight w:val="0"/>
      <w:marTop w:val="0"/>
      <w:marBottom w:val="0"/>
      <w:divBdr>
        <w:top w:val="none" w:sz="0" w:space="0" w:color="auto"/>
        <w:left w:val="none" w:sz="0" w:space="0" w:color="auto"/>
        <w:bottom w:val="none" w:sz="0" w:space="0" w:color="auto"/>
        <w:right w:val="none" w:sz="0" w:space="0" w:color="auto"/>
      </w:divBdr>
      <w:divsChild>
        <w:div w:id="1084759377">
          <w:blockQuote w:val="1"/>
          <w:marLeft w:val="96"/>
          <w:marRight w:val="720"/>
          <w:marTop w:val="100"/>
          <w:marBottom w:val="100"/>
          <w:divBdr>
            <w:top w:val="none" w:sz="0" w:space="0" w:color="auto"/>
            <w:left w:val="single" w:sz="18" w:space="6" w:color="C8C8C8"/>
            <w:bottom w:val="none" w:sz="0" w:space="0" w:color="auto"/>
            <w:right w:val="none" w:sz="0" w:space="0" w:color="auto"/>
          </w:divBdr>
        </w:div>
      </w:divsChild>
    </w:div>
    <w:div w:id="1419793285">
      <w:bodyDiv w:val="1"/>
      <w:marLeft w:val="0"/>
      <w:marRight w:val="0"/>
      <w:marTop w:val="0"/>
      <w:marBottom w:val="0"/>
      <w:divBdr>
        <w:top w:val="none" w:sz="0" w:space="0" w:color="auto"/>
        <w:left w:val="none" w:sz="0" w:space="0" w:color="auto"/>
        <w:bottom w:val="none" w:sz="0" w:space="0" w:color="auto"/>
        <w:right w:val="none" w:sz="0" w:space="0" w:color="auto"/>
      </w:divBdr>
    </w:div>
    <w:div w:id="1428161694">
      <w:bodyDiv w:val="1"/>
      <w:marLeft w:val="0"/>
      <w:marRight w:val="0"/>
      <w:marTop w:val="0"/>
      <w:marBottom w:val="0"/>
      <w:divBdr>
        <w:top w:val="none" w:sz="0" w:space="0" w:color="auto"/>
        <w:left w:val="none" w:sz="0" w:space="0" w:color="auto"/>
        <w:bottom w:val="none" w:sz="0" w:space="0" w:color="auto"/>
        <w:right w:val="none" w:sz="0" w:space="0" w:color="auto"/>
      </w:divBdr>
      <w:divsChild>
        <w:div w:id="641546927">
          <w:blockQuote w:val="1"/>
          <w:marLeft w:val="96"/>
          <w:marRight w:val="720"/>
          <w:marTop w:val="100"/>
          <w:marBottom w:val="100"/>
          <w:divBdr>
            <w:top w:val="none" w:sz="0" w:space="0" w:color="auto"/>
            <w:left w:val="single" w:sz="18" w:space="6" w:color="C8C8C8"/>
            <w:bottom w:val="none" w:sz="0" w:space="0" w:color="auto"/>
            <w:right w:val="none" w:sz="0" w:space="0" w:color="auto"/>
          </w:divBdr>
        </w:div>
      </w:divsChild>
    </w:div>
    <w:div w:id="1545101186">
      <w:bodyDiv w:val="1"/>
      <w:marLeft w:val="0"/>
      <w:marRight w:val="0"/>
      <w:marTop w:val="0"/>
      <w:marBottom w:val="0"/>
      <w:divBdr>
        <w:top w:val="none" w:sz="0" w:space="0" w:color="auto"/>
        <w:left w:val="none" w:sz="0" w:space="0" w:color="auto"/>
        <w:bottom w:val="none" w:sz="0" w:space="0" w:color="auto"/>
        <w:right w:val="none" w:sz="0" w:space="0" w:color="auto"/>
      </w:divBdr>
    </w:div>
    <w:div w:id="1690567252">
      <w:bodyDiv w:val="1"/>
      <w:marLeft w:val="0"/>
      <w:marRight w:val="0"/>
      <w:marTop w:val="0"/>
      <w:marBottom w:val="0"/>
      <w:divBdr>
        <w:top w:val="none" w:sz="0" w:space="0" w:color="auto"/>
        <w:left w:val="none" w:sz="0" w:space="0" w:color="auto"/>
        <w:bottom w:val="none" w:sz="0" w:space="0" w:color="auto"/>
        <w:right w:val="none" w:sz="0" w:space="0" w:color="auto"/>
      </w:divBdr>
    </w:div>
    <w:div w:id="1786460621">
      <w:bodyDiv w:val="1"/>
      <w:marLeft w:val="0"/>
      <w:marRight w:val="0"/>
      <w:marTop w:val="0"/>
      <w:marBottom w:val="0"/>
      <w:divBdr>
        <w:top w:val="none" w:sz="0" w:space="0" w:color="auto"/>
        <w:left w:val="none" w:sz="0" w:space="0" w:color="auto"/>
        <w:bottom w:val="none" w:sz="0" w:space="0" w:color="auto"/>
        <w:right w:val="none" w:sz="0" w:space="0" w:color="auto"/>
      </w:divBdr>
      <w:divsChild>
        <w:div w:id="1976325756">
          <w:blockQuote w:val="1"/>
          <w:marLeft w:val="0"/>
          <w:marRight w:val="0"/>
          <w:marTop w:val="0"/>
          <w:marBottom w:val="390"/>
          <w:divBdr>
            <w:top w:val="none" w:sz="0" w:space="0" w:color="auto"/>
            <w:left w:val="single" w:sz="6" w:space="12" w:color="DDDDDD"/>
            <w:bottom w:val="none" w:sz="0" w:space="0" w:color="auto"/>
            <w:right w:val="none" w:sz="0" w:space="0" w:color="auto"/>
          </w:divBdr>
        </w:div>
      </w:divsChild>
    </w:div>
    <w:div w:id="1975213908">
      <w:bodyDiv w:val="1"/>
      <w:marLeft w:val="0"/>
      <w:marRight w:val="0"/>
      <w:marTop w:val="0"/>
      <w:marBottom w:val="0"/>
      <w:divBdr>
        <w:top w:val="none" w:sz="0" w:space="0" w:color="auto"/>
        <w:left w:val="none" w:sz="0" w:space="0" w:color="auto"/>
        <w:bottom w:val="none" w:sz="0" w:space="0" w:color="auto"/>
        <w:right w:val="none" w:sz="0" w:space="0" w:color="auto"/>
      </w:divBdr>
      <w:divsChild>
        <w:div w:id="1756588109">
          <w:blockQuote w:val="1"/>
          <w:marLeft w:val="0"/>
          <w:marRight w:val="0"/>
          <w:marTop w:val="0"/>
          <w:marBottom w:val="390"/>
          <w:divBdr>
            <w:top w:val="none" w:sz="0" w:space="0" w:color="auto"/>
            <w:left w:val="single" w:sz="6" w:space="12" w:color="DDDDDD"/>
            <w:bottom w:val="none" w:sz="0" w:space="0" w:color="auto"/>
            <w:right w:val="none" w:sz="0" w:space="0" w:color="auto"/>
          </w:divBdr>
        </w:div>
      </w:divsChild>
    </w:div>
    <w:div w:id="2018771501">
      <w:bodyDiv w:val="1"/>
      <w:marLeft w:val="0"/>
      <w:marRight w:val="0"/>
      <w:marTop w:val="0"/>
      <w:marBottom w:val="0"/>
      <w:divBdr>
        <w:top w:val="none" w:sz="0" w:space="0" w:color="auto"/>
        <w:left w:val="none" w:sz="0" w:space="0" w:color="auto"/>
        <w:bottom w:val="none" w:sz="0" w:space="0" w:color="auto"/>
        <w:right w:val="none" w:sz="0" w:space="0" w:color="auto"/>
      </w:divBdr>
    </w:div>
    <w:div w:id="207246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andybarnett.com/pre-2000" TargetMode="External"/><Relationship Id="rId18" Type="http://schemas.openxmlformats.org/officeDocument/2006/relationships/hyperlink" Target="https://scholarship.law.umn.edu/mlr/1293/" TargetMode="External"/><Relationship Id="rId26" Type="http://schemas.openxmlformats.org/officeDocument/2006/relationships/hyperlink" Target="https://perma.cc/85JX-5WDF" TargetMode="External"/><Relationship Id="rId39" Type="http://schemas.openxmlformats.org/officeDocument/2006/relationships/hyperlink" Target="http://www.stephankinsella.com/lffs" TargetMode="External"/><Relationship Id="rId21" Type="http://schemas.openxmlformats.org/officeDocument/2006/relationships/hyperlink" Target="https://mises.org/library/toward-reformulation-law-contracts" TargetMode="External"/><Relationship Id="rId34" Type="http://schemas.openxmlformats.org/officeDocument/2006/relationships/hyperlink" Target="https://www.stephankinsella.com/paf-podcast/kol207-patent-copyright-and-trademark-are-not-about-plagiarism-theft-fraud-or-contract/" TargetMode="External"/><Relationship Id="rId42" Type="http://schemas.openxmlformats.org/officeDocument/2006/relationships/hyperlink" Target="http://www.stephankinsella.com/lffs" TargetMode="External"/><Relationship Id="rId47" Type="http://schemas.openxmlformats.org/officeDocument/2006/relationships/hyperlink" Target="https://mises.org/library/ultimate-foundation-economic-science" TargetMode="External"/><Relationship Id="rId50" Type="http://schemas.openxmlformats.org/officeDocument/2006/relationships/hyperlink" Target="https://mises.org/library/epistemological-problems-economics" TargetMode="External"/><Relationship Id="rId55" Type="http://schemas.openxmlformats.org/officeDocument/2006/relationships/hyperlink" Target="https://perma.cc/G67P-L5AB"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gitalcommons.law.utulsa.edu/tlr/vol6/iss1/4/" TargetMode="External"/><Relationship Id="rId29" Type="http://schemas.openxmlformats.org/officeDocument/2006/relationships/hyperlink" Target="https://c4sif.org/aip/" TargetMode="External"/><Relationship Id="rId11" Type="http://schemas.openxmlformats.org/officeDocument/2006/relationships/hyperlink" Target="https://en.wikipedia.org/wiki/Bailey_v._Alabama" TargetMode="External"/><Relationship Id="rId24" Type="http://schemas.openxmlformats.org/officeDocument/2006/relationships/hyperlink" Target="http://www.hanshoppe.com/tsc" TargetMode="External"/><Relationship Id="rId32" Type="http://schemas.openxmlformats.org/officeDocument/2006/relationships/hyperlink" Target="https://www.stephankinsella.com/2010/11/rothbard-justice-property-rights/" TargetMode="External"/><Relationship Id="rId37" Type="http://schemas.openxmlformats.org/officeDocument/2006/relationships/hyperlink" Target="http://www.stephankinsella.com/lffs" TargetMode="External"/><Relationship Id="rId40" Type="http://schemas.openxmlformats.org/officeDocument/2006/relationships/hyperlink" Target="http://www.stephankinsella.com/lffs" TargetMode="External"/><Relationship Id="rId45" Type="http://schemas.openxmlformats.org/officeDocument/2006/relationships/hyperlink" Target="https://www.tulanelawreview.org/pub/volume60/issue6/detrimental-reliance-and-promissory-estoppel-as-the-cause-of-contracts-in-louisiana-and-comparative-law" TargetMode="External"/><Relationship Id="rId53" Type="http://schemas.openxmlformats.org/officeDocument/2006/relationships/hyperlink" Target="https://perma.cc/G67P-L5AB" TargetMode="External"/><Relationship Id="rId58" Type="http://schemas.openxmlformats.org/officeDocument/2006/relationships/hyperlink" Target="https://mises.org/library/man-economy-and-state-power-and-market"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perma.cc/G3CK-B8WB" TargetMode="External"/><Relationship Id="rId14" Type="http://schemas.openxmlformats.org/officeDocument/2006/relationships/hyperlink" Target="http://www.randybarnett.com/pre-2000" TargetMode="External"/><Relationship Id="rId22" Type="http://schemas.openxmlformats.org/officeDocument/2006/relationships/hyperlink" Target="https://casetext.com/case/gilmartin-v-kvtv-channel-13/case-details" TargetMode="External"/><Relationship Id="rId27" Type="http://schemas.openxmlformats.org/officeDocument/2006/relationships/hyperlink" Target="https://perma.cc/TP6K-L8FX" TargetMode="External"/><Relationship Id="rId30" Type="http://schemas.openxmlformats.org/officeDocument/2006/relationships/hyperlink" Target="https://c4sif.org/aip/" TargetMode="External"/><Relationship Id="rId35" Type="http://schemas.openxmlformats.org/officeDocument/2006/relationships/hyperlink" Target="https://www.stephankinsella.com/2021/04/libertarian-answer-man-self-ownership-for-slaves-and-crusoe/" TargetMode="External"/><Relationship Id="rId43" Type="http://schemas.openxmlformats.org/officeDocument/2006/relationships/hyperlink" Target="https://www.legis.la.gov/legis/Laws_Toc.aspx?folder=67&amp;level=Parent" TargetMode="External"/><Relationship Id="rId48" Type="http://schemas.openxmlformats.org/officeDocument/2006/relationships/hyperlink" Target="https://mises.org/library/book/socialism-economic-and-sociological-analysis" TargetMode="External"/><Relationship Id="rId56" Type="http://schemas.openxmlformats.org/officeDocument/2006/relationships/hyperlink" Target="https://mises.org/mises-daily/crusoe-social-philosophy" TargetMode="External"/><Relationship Id="rId8" Type="http://schemas.openxmlformats.org/officeDocument/2006/relationships/header" Target="header1.xml"/><Relationship Id="rId51" Type="http://schemas.openxmlformats.org/officeDocument/2006/relationships/hyperlink" Target="https://mises.org/library/property-rights-and-theory-contracts" TargetMode="External"/><Relationship Id="rId3" Type="http://schemas.openxmlformats.org/officeDocument/2006/relationships/styles" Target="styles.xml"/><Relationship Id="rId12" Type="http://schemas.openxmlformats.org/officeDocument/2006/relationships/hyperlink" Target="http://www.randybarnett.com/pre-2000" TargetMode="External"/><Relationship Id="rId17" Type="http://schemas.openxmlformats.org/officeDocument/2006/relationships/hyperlink" Target="https://scholarship.law.umn.edu/mlr/1293/" TargetMode="External"/><Relationship Id="rId25" Type="http://schemas.openxmlformats.org/officeDocument/2006/relationships/hyperlink" Target="https://perma.cc/GX8A-W9WP" TargetMode="External"/><Relationship Id="rId33" Type="http://schemas.openxmlformats.org/officeDocument/2006/relationships/hyperlink" Target="https://www.stephankinsella.com/2010/10/mises-keep-it-interesting/" TargetMode="External"/><Relationship Id="rId38" Type="http://schemas.openxmlformats.org/officeDocument/2006/relationships/hyperlink" Target="http://www.stephankinsella.com/lffs" TargetMode="External"/><Relationship Id="rId46" Type="http://schemas.openxmlformats.org/officeDocument/2006/relationships/hyperlink" Target="https://digitalcommons.law.lsu.edu/lalrev/vol48/iss1/5/" TargetMode="External"/><Relationship Id="rId59" Type="http://schemas.openxmlformats.org/officeDocument/2006/relationships/hyperlink" Target="https://mises.org/library/economic-controversies" TargetMode="External"/><Relationship Id="rId20" Type="http://schemas.openxmlformats.org/officeDocument/2006/relationships/hyperlink" Target="https://mises.org/library/toward-reformulation-law-contracts" TargetMode="External"/><Relationship Id="rId41" Type="http://schemas.openxmlformats.org/officeDocument/2006/relationships/hyperlink" Target="http://www.stephankinsella.com/lffs" TargetMode="External"/><Relationship Id="rId54" Type="http://schemas.openxmlformats.org/officeDocument/2006/relationships/hyperlink" Target="https://mises.org/library/right-self-defens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ises.org/journal-libertarian-studies/toward-libertarian-theory-inalienability-critique-rothbard-barnett-smith-kinsella-gordon-and-epstein" TargetMode="External"/><Relationship Id="rId23" Type="http://schemas.openxmlformats.org/officeDocument/2006/relationships/hyperlink" Target="http://www.hanshoppe.com/eepp" TargetMode="External"/><Relationship Id="rId28" Type="http://schemas.openxmlformats.org/officeDocument/2006/relationships/hyperlink" Target="https://www.independent.org/publications/tir/article.asp?id=90" TargetMode="External"/><Relationship Id="rId36" Type="http://schemas.openxmlformats.org/officeDocument/2006/relationships/hyperlink" Target="http://www.stephankinsella.com/lffs" TargetMode="External"/><Relationship Id="rId49" Type="http://schemas.openxmlformats.org/officeDocument/2006/relationships/hyperlink" Target="https://mises.org/library/human-action-0" TargetMode="External"/><Relationship Id="rId57" Type="http://schemas.openxmlformats.org/officeDocument/2006/relationships/hyperlink" Target="https://mises.org/library/book/mystery-banking" TargetMode="External"/><Relationship Id="rId10" Type="http://schemas.openxmlformats.org/officeDocument/2006/relationships/footer" Target="footer2.xml"/><Relationship Id="rId31" Type="http://schemas.openxmlformats.org/officeDocument/2006/relationships/hyperlink" Target="http://www.stephankinsella.com/2009/11/common-misconceptions-about-plagiarism-and-patents-a-call-for-an-independent-inventor-defense/" TargetMode="External"/><Relationship Id="rId44" Type="http://schemas.openxmlformats.org/officeDocument/2006/relationships/hyperlink" Target="https://legis.la.gov/legis/Laws_Toc.aspx?folder=68&amp;level=Parent" TargetMode="External"/><Relationship Id="rId52" Type="http://schemas.openxmlformats.org/officeDocument/2006/relationships/hyperlink" Target="https://perma.cc/G67P-L5AB" TargetMode="External"/><Relationship Id="rId60" Type="http://schemas.openxmlformats.org/officeDocument/2006/relationships/hyperlink" Target="https://digitalcommons.law.lsu.edu/lalrev/vol51/iss3/8/" TargetMode="Externa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c4sif.org/aip/" TargetMode="External"/><Relationship Id="rId1" Type="http://schemas.openxmlformats.org/officeDocument/2006/relationships/hyperlink" Target="https://www.stephankinsella.com/lff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D08E2-25C4-4472-BA52-C5A5F805D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16</Pages>
  <Words>7962</Words>
  <Characters>44431</Characters>
  <Application>Microsoft Office Word</Application>
  <DocSecurity>0</DocSecurity>
  <Lines>643</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Kinsella</dc:creator>
  <cp:keywords/>
  <dc:description/>
  <cp:lastModifiedBy>Stephan Kinsella</cp:lastModifiedBy>
  <cp:revision>32</cp:revision>
  <dcterms:created xsi:type="dcterms:W3CDTF">2026-10-30T17:58:00Z</dcterms:created>
  <dcterms:modified xsi:type="dcterms:W3CDTF">2026-10-30T19:03:00Z</dcterms:modified>
</cp:coreProperties>
</file>